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8A0" w14:textId="77777777" w:rsidR="00FE2D31" w:rsidRDefault="00FE2D31" w:rsidP="00FE2D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Spoštovan</w:t>
      </w:r>
      <w:r>
        <w:rPr>
          <w:rFonts w:ascii="Calibri" w:hAnsi="Calibri" w:cs="Calibri"/>
          <w:color w:val="000000"/>
          <w:sz w:val="22"/>
          <w:szCs w:val="22"/>
        </w:rPr>
        <w:t>e doktorandke in doktorandi</w:t>
      </w:r>
      <w:r>
        <w:rPr>
          <w:rFonts w:ascii="Calibri" w:hAnsi="Calibri" w:cs="Calibri"/>
          <w:sz w:val="22"/>
          <w:szCs w:val="22"/>
        </w:rPr>
        <w:t>,</w:t>
      </w:r>
    </w:p>
    <w:p w14:paraId="42CE81A0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074FA641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obveščamo vas, da bo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14. marca 2024 ob 16. uri </w:t>
      </w:r>
      <w:r>
        <w:rPr>
          <w:rFonts w:ascii="Calibri" w:hAnsi="Calibri" w:cs="Calibri"/>
          <w:sz w:val="22"/>
          <w:szCs w:val="22"/>
          <w:lang w:eastAsia="en-US"/>
        </w:rPr>
        <w:t xml:space="preserve">v okviru projekta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Euraxess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Podjetniška vodstvena akademija/ERA Talent potekal spletni seminar »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Kreativnost pri reševanju problemov in odločanju</w:t>
      </w:r>
      <w:r>
        <w:rPr>
          <w:rFonts w:ascii="Calibri" w:hAnsi="Calibri" w:cs="Calibri"/>
          <w:sz w:val="22"/>
          <w:szCs w:val="22"/>
          <w:lang w:eastAsia="en-US"/>
        </w:rPr>
        <w:t xml:space="preserve">«. </w:t>
      </w:r>
    </w:p>
    <w:p w14:paraId="15A9B7E6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2B00B372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Seminar je namenjen predvsem doktorandom in mladim doktorjem znanosti.</w:t>
      </w:r>
    </w:p>
    <w:p w14:paraId="54F0DB6E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371EDB96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Spletni seminar bo raziskoval inovativne pristope za reševanje izzivov, ustvarjanje prelomnih idej in sprejemanje informiranih odločitev, ki vodijo k uspehu zagonskih podjetij. Odkrili boste preverjene tehnike za spodbujanje kreativnosti, razmišljanje izven okvirov in premagovanje ovir na podjetniški poti.</w:t>
      </w:r>
    </w:p>
    <w:p w14:paraId="35DACE0D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261FAA48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seminarju bosta dva govorca predstavila svoja različna pogleda na omenjeno temo – več informacij v prilogi in spodnjem sporočilu.</w:t>
      </w:r>
    </w:p>
    <w:p w14:paraId="27D452AA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17741AAD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Dogodek bo trajal približno 2 uri, registracija pa je odprta do 13. marca 2024 do 16h: </w:t>
      </w:r>
      <w:hyperlink r:id="rId4" w:tgtFrame="_blank" w:history="1">
        <w:r>
          <w:rPr>
            <w:rStyle w:val="Hiperpovezava"/>
            <w:rFonts w:ascii="Helvetica" w:hAnsi="Helvetica" w:cs="Helvetica"/>
            <w:sz w:val="21"/>
            <w:szCs w:val="21"/>
          </w:rPr>
          <w:t>https://forms.office.com/e/ubPtdp2Nhd</w:t>
        </w:r>
      </w:hyperlink>
      <w:r>
        <w:rPr>
          <w:rFonts w:ascii="Calibri" w:hAnsi="Calibri" w:cs="Calibri"/>
          <w:sz w:val="22"/>
          <w:szCs w:val="22"/>
          <w:lang w:eastAsia="en-US"/>
        </w:rPr>
        <w:t>.</w:t>
      </w:r>
    </w:p>
    <w:p w14:paraId="5C302D4C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</w:p>
    <w:p w14:paraId="3F469D44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Lepo vas pozdravljamo,</w:t>
      </w:r>
    </w:p>
    <w:p w14:paraId="130C1FAF" w14:textId="77777777" w:rsidR="00FE2D31" w:rsidRDefault="00FE2D31" w:rsidP="00FE2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Služba za doktorski študij Univerze v Ljubljani</w:t>
      </w:r>
    </w:p>
    <w:p w14:paraId="53283837" w14:textId="77777777" w:rsidR="00FE2D31" w:rsidRDefault="00FE2D31" w:rsidP="00FE2D31">
      <w:pPr>
        <w:rPr>
          <w:sz w:val="22"/>
          <w:szCs w:val="22"/>
          <w:lang w:eastAsia="en-US"/>
        </w:rPr>
      </w:pPr>
    </w:p>
    <w:p w14:paraId="4901864C" w14:textId="77777777" w:rsidR="00FE2D31" w:rsidRDefault="00FE2D31" w:rsidP="00FE2D31"/>
    <w:tbl>
      <w:tblPr>
        <w:tblW w:w="5000" w:type="pct"/>
        <w:tblCellSpacing w:w="15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8910"/>
        <w:gridCol w:w="81"/>
      </w:tblGrid>
      <w:tr w:rsidR="00FE2D31" w14:paraId="64917FCD" w14:textId="77777777" w:rsidTr="00FE2D31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9F629" w14:textId="77777777" w:rsidR="00FE2D31" w:rsidRDefault="00FE2D31"/>
        </w:tc>
        <w:tc>
          <w:tcPr>
            <w:tcW w:w="5000" w:type="pct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0" w:type="dxa"/>
              <w:tblBorders>
                <w:top w:val="single" w:sz="8" w:space="0" w:color="E9E9E9"/>
                <w:left w:val="single" w:sz="8" w:space="0" w:color="E9E9E9"/>
                <w:bottom w:val="single" w:sz="8" w:space="0" w:color="E9E9E9"/>
                <w:right w:val="single" w:sz="8" w:space="0" w:color="E9E9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FE2D31" w14:paraId="421477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5A2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79B579F4" w14:textId="77777777" w:rsidR="00FE2D31" w:rsidRDefault="00FE2D31">
                  <w:pPr>
                    <w:spacing w:line="384" w:lineRule="atLeast"/>
                    <w:jc w:val="center"/>
                    <w:rPr>
                      <w:rFonts w:ascii="Helvetica" w:hAnsi="Helvetica" w:cs="Helvetica"/>
                      <w:color w:val="FFFFFF"/>
                    </w:rPr>
                  </w:pPr>
                  <w:r>
                    <w:rPr>
                      <w:rFonts w:ascii="Helvetica" w:hAnsi="Helvetica" w:cs="Helvetica"/>
                      <w:color w:val="FFFFFF"/>
                    </w:rPr>
                    <w:t xml:space="preserve">ERA Talent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project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webinar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"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Creativity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in Problem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Solving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and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Decision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FFFFFF"/>
                    </w:rPr>
                    <w:t>Making</w:t>
                  </w:r>
                  <w:proofErr w:type="spellEnd"/>
                  <w:r>
                    <w:rPr>
                      <w:rFonts w:ascii="Helvetica" w:hAnsi="Helvetica" w:cs="Helvetica"/>
                      <w:color w:val="FFFFFF"/>
                    </w:rPr>
                    <w:t xml:space="preserve">" </w:t>
                  </w:r>
                </w:p>
              </w:tc>
            </w:tr>
            <w:tr w:rsidR="00FE2D31" w14:paraId="1B9304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FE2D31" w14:paraId="17A3DE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p w14:paraId="263A79D8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Dear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Colleagues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,</w:t>
                        </w:r>
                      </w:p>
                      <w:p w14:paraId="2C611A5A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behalf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Foundation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Science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Technology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Portugal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I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am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announce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webinar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Creativity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in Problem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Solving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Decision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Making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that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will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take place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within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Euraxess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Entrepreneur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Leadership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Academy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/ERA Talent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project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14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arch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2024 at 16.00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hours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CET.</w:t>
                        </w:r>
                      </w:p>
                      <w:p w14:paraId="243CC218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This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webinar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intends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explore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innovative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approaches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tackle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challenges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generate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breakthrough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ideas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make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informed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decisions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that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drive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startup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success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discover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proven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techniques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ignite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creativity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think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outside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box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overcome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obstacles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along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entrepreneurial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journey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.</w:t>
                        </w:r>
                      </w:p>
                      <w:p w14:paraId="49EECC90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This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webinar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primarily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addressed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PhD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students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young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PhDs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.</w:t>
                        </w:r>
                      </w:p>
                      <w:p w14:paraId="692A92D7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lastRenderedPageBreak/>
                          <w:t>During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webinar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two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speakers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will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their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different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perspectives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above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subject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find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speakers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CVs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leaflet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attached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this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e-mail.</w:t>
                        </w:r>
                      </w:p>
                      <w:p w14:paraId="21503CD7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event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will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take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about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hours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long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registration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is open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until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13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Krepko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>arc</w:t>
                        </w: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h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at 16.00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hours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CET.</w:t>
                        </w:r>
                      </w:p>
                      <w:p w14:paraId="1E3ACBD0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To register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go to: </w:t>
                        </w:r>
                        <w:hyperlink r:id="rId5" w:tgtFrame="_blank" w:history="1">
                          <w:r>
                            <w:rPr>
                              <w:rStyle w:val="Hiperpovezava"/>
                              <w:rFonts w:ascii="Helvetica" w:hAnsi="Helvetica" w:cs="Helvetica"/>
                              <w:sz w:val="21"/>
                              <w:szCs w:val="21"/>
                            </w:rPr>
                            <w:t>https://forms.office.com/e/ubPtdp2Nhd</w:t>
                          </w:r>
                        </w:hyperlink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.</w:t>
                        </w:r>
                      </w:p>
                      <w:p w14:paraId="50A9BDE2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Style w:val="Krepko"/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Agenda </w:t>
                        </w:r>
                      </w:p>
                      <w:p w14:paraId="1AE66058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16.00 h -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Five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-minute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introduction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by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FCT</w:t>
                        </w:r>
                      </w:p>
                      <w:p w14:paraId="130AD043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16.05 h - Speaker 1 -  Mr.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Tiago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Ferraz</w:t>
                        </w:r>
                        <w:proofErr w:type="spellEnd"/>
                      </w:p>
                      <w:p w14:paraId="20E447F9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16.50 h - Q&amp;A</w:t>
                        </w:r>
                      </w:p>
                      <w:p w14:paraId="70A9E6AF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17.00 h - Speaker 2 -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Mrs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Maggie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João</w:t>
                        </w:r>
                        <w:proofErr w:type="spellEnd"/>
                      </w:p>
                      <w:p w14:paraId="4103AF80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17.45 h - Q&amp;A</w:t>
                        </w:r>
                      </w:p>
                      <w:p w14:paraId="457098F1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17.55 h -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Final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remarks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by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FCT </w:t>
                        </w:r>
                      </w:p>
                      <w:p w14:paraId="0BA82E6B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18.00 h -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Session</w:t>
                        </w:r>
                        <w:proofErr w:type="spellEnd"/>
                      </w:p>
                      <w:p w14:paraId="4E0982AE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would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very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much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appreciate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if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you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could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promote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this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webinar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countries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universities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and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companies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.</w:t>
                        </w:r>
                      </w:p>
                      <w:p w14:paraId="5DE735CF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Thank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you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advance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!</w:t>
                        </w:r>
                      </w:p>
                      <w:p w14:paraId="0A0835EC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Ana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Margarida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Santos</w:t>
                        </w:r>
                      </w:p>
                      <w:p w14:paraId="78094B8A" w14:textId="77777777" w:rsidR="00FE2D31" w:rsidRDefault="00FE2D31">
                        <w:pPr>
                          <w:pStyle w:val="Navadensplet"/>
                          <w:spacing w:line="384" w:lineRule="atLeast"/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Euraxess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Portugal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sz w:val="21"/>
                            <w:szCs w:val="21"/>
                          </w:rPr>
                          <w:t>,</w:t>
                        </w:r>
                      </w:p>
                    </w:tc>
                  </w:tr>
                </w:tbl>
                <w:p w14:paraId="04A72715" w14:textId="77777777" w:rsidR="00FE2D31" w:rsidRDefault="00FE2D3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1FB0D5" w14:textId="77777777" w:rsidR="00FE2D31" w:rsidRDefault="00FE2D31">
            <w:pPr>
              <w:spacing w:line="384" w:lineRule="atLeast"/>
              <w:rPr>
                <w:rFonts w:ascii="Helvetica" w:hAnsi="Helvetica" w:cs="Helvetica"/>
                <w:vanish/>
                <w:color w:val="999999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FE2D31" w14:paraId="71FFF9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14:paraId="44CFC687" w14:textId="77777777" w:rsidR="00FE2D31" w:rsidRDefault="00FE2D31">
                  <w:pPr>
                    <w:pStyle w:val="Navadensplet"/>
                    <w:spacing w:line="384" w:lineRule="atLeast"/>
                    <w:jc w:val="center"/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European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Commission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is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committed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to personal data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protection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Any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personal data is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processed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in line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Regulation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(EC)45/2001.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All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personal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information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processed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by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Directorate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-General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for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Research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and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Innovation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is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treated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accordingly</w:t>
                  </w:r>
                  <w:proofErr w:type="spellEnd"/>
                  <w:r>
                    <w:rPr>
                      <w:rFonts w:ascii="Helvetica" w:hAnsi="Helvetica" w:cs="Helvetica"/>
                      <w:color w:val="999999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40B7A55" w14:textId="77777777" w:rsidR="00FE2D31" w:rsidRDefault="00FE2D31"/>
        </w:tc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0B877" w14:textId="77777777" w:rsidR="00FE2D31" w:rsidRDefault="00FE2D31"/>
        </w:tc>
      </w:tr>
    </w:tbl>
    <w:p w14:paraId="3CE0BBC2" w14:textId="77777777" w:rsidR="00FE2D31" w:rsidRDefault="00FE2D31" w:rsidP="00FE2D31"/>
    <w:p w14:paraId="6B866DBC" w14:textId="77777777" w:rsidR="00F249CE" w:rsidRDefault="00F249CE"/>
    <w:sectPr w:rsidR="00F2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31"/>
    <w:rsid w:val="0061012E"/>
    <w:rsid w:val="00F249CE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38C"/>
  <w15:chartTrackingRefBased/>
  <w15:docId w15:val="{53C744C9-7789-4A3D-B450-28EB2958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2D31"/>
    <w:pPr>
      <w:spacing w:after="0" w:line="240" w:lineRule="auto"/>
    </w:pPr>
    <w:rPr>
      <w:rFonts w:ascii="Aptos" w:hAnsi="Aptos" w:cs="Aptos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2D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2D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2D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2D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2D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2D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2D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2D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2D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2D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2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2D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2D3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2D31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2D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2D3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2D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2D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2D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E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2D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E2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2D3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E2D3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2D3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E2D31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2D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2D31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2D31"/>
    <w:rPr>
      <w:b/>
      <w:bCs/>
      <w:smallCaps/>
      <w:color w:val="2E74B5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FE2D3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E2D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Krepko">
    <w:name w:val="Strong"/>
    <w:basedOn w:val="Privzetapisavaodstavka"/>
    <w:uiPriority w:val="22"/>
    <w:qFormat/>
    <w:rsid w:val="00FE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ubPtdp2Nhd" TargetMode="External"/><Relationship Id="rId4" Type="http://schemas.openxmlformats.org/officeDocument/2006/relationships/hyperlink" Target="https://forms.office.com/e/ubPtdp2Nh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Zakrajšek, Urša</dc:creator>
  <cp:keywords/>
  <dc:description/>
  <cp:lastModifiedBy>Zakrajšek, Urša</cp:lastModifiedBy>
  <cp:revision>1</cp:revision>
  <dcterms:created xsi:type="dcterms:W3CDTF">2024-03-07T12:46:00Z</dcterms:created>
  <dcterms:modified xsi:type="dcterms:W3CDTF">2024-03-07T12:46:00Z</dcterms:modified>
</cp:coreProperties>
</file>