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6113" w14:textId="77777777" w:rsidR="00757A01" w:rsidRPr="00623F6B" w:rsidRDefault="00757A01" w:rsidP="00757A01">
      <w:pPr>
        <w:pStyle w:val="Glava"/>
        <w:spacing w:line="22" w:lineRule="atLeast"/>
        <w:rPr>
          <w:lang w:val="en-GB"/>
        </w:rPr>
      </w:pPr>
      <w:r w:rsidRPr="00623F6B">
        <w:rPr>
          <w:rFonts w:ascii="Arial" w:hAnsi="Arial" w:cs="Arial"/>
          <w:b/>
          <w:noProof/>
          <w:sz w:val="25"/>
          <w:szCs w:val="25"/>
          <w:lang w:val="en-GB" w:eastAsia="sl-SI"/>
        </w:rPr>
        <w:drawing>
          <wp:anchor distT="0" distB="0" distL="114300" distR="114300" simplePos="0" relativeHeight="251655168" behindDoc="0" locked="0" layoutInCell="1" allowOverlap="1" wp14:anchorId="6295EFAA" wp14:editId="2D1831FD">
            <wp:simplePos x="0" y="0"/>
            <wp:positionH relativeFrom="margin">
              <wp:posOffset>880514</wp:posOffset>
            </wp:positionH>
            <wp:positionV relativeFrom="paragraph">
              <wp:posOffset>-482430</wp:posOffset>
            </wp:positionV>
            <wp:extent cx="796636" cy="792516"/>
            <wp:effectExtent l="0" t="0" r="3810" b="7620"/>
            <wp:wrapNone/>
            <wp:docPr id="3076" name="Content Placeholder 10" descr="prenos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Content Placeholder 10" descr="prenos (1)"/>
                    <pic:cNvPicPr>
                      <a:picLocks noGrp="1" noChangeAspect="1"/>
                    </pic:cNvPicPr>
                  </pic:nvPicPr>
                  <pic:blipFill>
                    <a:blip r:embed="rId11"/>
                    <a:stretch>
                      <a:fillRect/>
                    </a:stretch>
                  </pic:blipFill>
                  <pic:spPr>
                    <a:xfrm>
                      <a:off x="0" y="0"/>
                      <a:ext cx="800810" cy="796668"/>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623F6B">
        <w:rPr>
          <w:rFonts w:ascii="Arial" w:hAnsi="Arial" w:cs="Arial"/>
          <w:b/>
          <w:noProof/>
          <w:sz w:val="25"/>
          <w:szCs w:val="25"/>
          <w:lang w:val="en-GB" w:eastAsia="sl-SI"/>
        </w:rPr>
        <w:drawing>
          <wp:anchor distT="0" distB="0" distL="114300" distR="114300" simplePos="0" relativeHeight="251652096" behindDoc="0" locked="0" layoutInCell="1" allowOverlap="1" wp14:anchorId="14427999" wp14:editId="553FAF62">
            <wp:simplePos x="0" y="0"/>
            <wp:positionH relativeFrom="margin">
              <wp:posOffset>-283294</wp:posOffset>
            </wp:positionH>
            <wp:positionV relativeFrom="paragraph">
              <wp:posOffset>-546504</wp:posOffset>
            </wp:positionV>
            <wp:extent cx="1202256" cy="858635"/>
            <wp:effectExtent l="0" t="0" r="0" b="0"/>
            <wp:wrapNone/>
            <wp:docPr id="3074" name="Picture 12" descr="logo-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12" descr="logo-28"/>
                    <pic:cNvPicPr>
                      <a:picLocks noChangeAspect="1"/>
                    </pic:cNvPicPr>
                  </pic:nvPicPr>
                  <pic:blipFill>
                    <a:blip r:embed="rId12"/>
                    <a:stretch>
                      <a:fillRect/>
                    </a:stretch>
                  </pic:blipFill>
                  <pic:spPr>
                    <a:xfrm>
                      <a:off x="0" y="0"/>
                      <a:ext cx="1206569" cy="86171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623F6B">
        <w:rPr>
          <w:rFonts w:ascii="Arial" w:hAnsi="Arial" w:cs="Arial"/>
          <w:b/>
          <w:noProof/>
          <w:sz w:val="25"/>
          <w:szCs w:val="25"/>
          <w:lang w:val="en-GB" w:eastAsia="sl-SI"/>
        </w:rPr>
        <mc:AlternateContent>
          <mc:Choice Requires="wps">
            <w:drawing>
              <wp:anchor distT="0" distB="0" distL="114300" distR="114300" simplePos="0" relativeHeight="251657216" behindDoc="0" locked="0" layoutInCell="1" allowOverlap="1" wp14:anchorId="0738236A" wp14:editId="0FB340B3">
                <wp:simplePos x="0" y="0"/>
                <wp:positionH relativeFrom="margin">
                  <wp:posOffset>4852670</wp:posOffset>
                </wp:positionH>
                <wp:positionV relativeFrom="paragraph">
                  <wp:posOffset>75565</wp:posOffset>
                </wp:positionV>
                <wp:extent cx="1214438" cy="714375"/>
                <wp:effectExtent l="0" t="0" r="0" b="0"/>
                <wp:wrapNone/>
                <wp:docPr id="3077" name="Text Box 13"/>
                <wp:cNvGraphicFramePr/>
                <a:graphic xmlns:a="http://schemas.openxmlformats.org/drawingml/2006/main">
                  <a:graphicData uri="http://schemas.microsoft.com/office/word/2010/wordprocessingShape">
                    <wps:wsp>
                      <wps:cNvSpPr txBox="1"/>
                      <wps:spPr>
                        <a:xfrm>
                          <a:off x="0" y="0"/>
                          <a:ext cx="1214438" cy="714375"/>
                        </a:xfrm>
                        <a:prstGeom prst="rect">
                          <a:avLst/>
                        </a:prstGeom>
                        <a:noFill/>
                        <a:ln w="9525">
                          <a:noFill/>
                        </a:ln>
                      </wps:spPr>
                      <wps:txbx>
                        <w:txbxContent>
                          <w:p w14:paraId="3725B4E4" w14:textId="6F23D53B" w:rsidR="00E44838" w:rsidRPr="00D4168C" w:rsidRDefault="00E44838"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TRIIAL </w:t>
                            </w:r>
                            <w:r>
                              <w:rPr>
                                <w:rFonts w:ascii="DejaVuSansCondensed" w:hAnsi="DejaVuSansCondensed" w:cs="DejaVuSansCondensed"/>
                                <w:sz w:val="12"/>
                                <w:szCs w:val="12"/>
                                <w:lang w:val="en-GB"/>
                              </w:rPr>
                              <w:t xml:space="preserve">2 </w:t>
                            </w:r>
                            <w:r w:rsidRPr="00D4168C">
                              <w:rPr>
                                <w:rFonts w:ascii="DejaVuSansCondensed" w:hAnsi="DejaVuSansCondensed" w:cs="DejaVuSansCondensed"/>
                                <w:sz w:val="12"/>
                                <w:szCs w:val="12"/>
                                <w:lang w:val="en-GB"/>
                              </w:rPr>
                              <w:t>project is co-funded</w:t>
                            </w:r>
                          </w:p>
                          <w:p w14:paraId="3C99600D" w14:textId="77777777" w:rsidR="00E44838" w:rsidRPr="00D4168C" w:rsidRDefault="00E44838"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 by the European Commission</w:t>
                            </w:r>
                          </w:p>
                          <w:p w14:paraId="6306A8AA" w14:textId="2E223F47" w:rsidR="00E44838" w:rsidRPr="00D4168C" w:rsidRDefault="00E44838"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 Directorate Ge</w:t>
                            </w:r>
                            <w:r>
                              <w:rPr>
                                <w:rFonts w:ascii="DejaVuSansCondensed" w:hAnsi="DejaVuSansCondensed" w:cs="DejaVuSansCondensed"/>
                                <w:sz w:val="12"/>
                                <w:szCs w:val="12"/>
                                <w:lang w:val="en-GB"/>
                              </w:rPr>
                              <w:t>neral for Justice and Consumers</w:t>
                            </w:r>
                          </w:p>
                          <w:p w14:paraId="118168B6" w14:textId="6038ABF3" w:rsidR="00E44838" w:rsidRPr="00D4168C" w:rsidRDefault="00E44838"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 </w:t>
                            </w:r>
                            <w:r>
                              <w:rPr>
                                <w:rFonts w:ascii="DejaVuSansCondensed" w:hAnsi="DejaVuSansCondensed" w:cs="DejaVuSansCondensed"/>
                                <w:sz w:val="12"/>
                                <w:szCs w:val="12"/>
                                <w:lang w:val="en-GB"/>
                              </w:rPr>
                              <w:t xml:space="preserve">(Project no. </w:t>
                            </w:r>
                            <w:r w:rsidRPr="00757A01">
                              <w:rPr>
                                <w:rFonts w:ascii="DejaVuSansCondensed" w:hAnsi="DejaVuSansCondensed" w:cs="DejaVuSansCondensed"/>
                                <w:sz w:val="12"/>
                                <w:szCs w:val="12"/>
                                <w:lang w:val="en-GB"/>
                              </w:rPr>
                              <w:t>101089737</w:t>
                            </w:r>
                            <w:r>
                              <w:rPr>
                                <w:rFonts w:ascii="DejaVuSansCondensed" w:hAnsi="DejaVuSansCondensed" w:cs="DejaVuSansCondensed"/>
                                <w:sz w:val="12"/>
                                <w:szCs w:val="12"/>
                                <w:lang w:val="en-GB"/>
                              </w:rPr>
                              <w:t>)</w:t>
                            </w:r>
                          </w:p>
                          <w:p w14:paraId="2C9AD7A0" w14:textId="77777777" w:rsidR="00E44838" w:rsidRDefault="00E44838" w:rsidP="00757A01">
                            <w:pPr>
                              <w:pStyle w:val="Navadensplet"/>
                              <w:spacing w:before="0" w:beforeAutospacing="0" w:after="0" w:afterAutospacing="0"/>
                              <w:jc w:val="right"/>
                              <w:textAlignment w:val="baseline"/>
                            </w:pP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8236A" id="_x0000_t202" coordsize="21600,21600" o:spt="202" path="m,l,21600r21600,l21600,xe">
                <v:stroke joinstyle="miter"/>
                <v:path gradientshapeok="t" o:connecttype="rect"/>
              </v:shapetype>
              <v:shape id="Text Box 13" o:spid="_x0000_s1026" type="#_x0000_t202" style="position:absolute;margin-left:382.1pt;margin-top:5.95pt;width:95.65pt;height:5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" filled="f" stroked="f">
                <v:textbox>
                  <w:txbxContent>
                    <w:p w14:paraId="3725B4E4" w14:textId="6F23D53B" w:rsidR="00E44838" w:rsidRPr="00D4168C" w:rsidRDefault="00E44838"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TRIIAL </w:t>
                      </w:r>
                      <w:r>
                        <w:rPr>
                          <w:rFonts w:ascii="DejaVuSansCondensed" w:hAnsi="DejaVuSansCondensed" w:cs="DejaVuSansCondensed"/>
                          <w:sz w:val="12"/>
                          <w:szCs w:val="12"/>
                          <w:lang w:val="en-GB"/>
                        </w:rPr>
                        <w:t xml:space="preserve">2 </w:t>
                      </w:r>
                      <w:r w:rsidRPr="00D4168C">
                        <w:rPr>
                          <w:rFonts w:ascii="DejaVuSansCondensed" w:hAnsi="DejaVuSansCondensed" w:cs="DejaVuSansCondensed"/>
                          <w:sz w:val="12"/>
                          <w:szCs w:val="12"/>
                          <w:lang w:val="en-GB"/>
                        </w:rPr>
                        <w:t>project is co-funded</w:t>
                      </w:r>
                    </w:p>
                    <w:p w14:paraId="3C99600D" w14:textId="77777777" w:rsidR="00E44838" w:rsidRPr="00D4168C" w:rsidRDefault="00E44838"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 by the European Commission</w:t>
                      </w:r>
                    </w:p>
                    <w:p w14:paraId="6306A8AA" w14:textId="2E223F47" w:rsidR="00E44838" w:rsidRPr="00D4168C" w:rsidRDefault="00E44838"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 Directorate Ge</w:t>
                      </w:r>
                      <w:r>
                        <w:rPr>
                          <w:rFonts w:ascii="DejaVuSansCondensed" w:hAnsi="DejaVuSansCondensed" w:cs="DejaVuSansCondensed"/>
                          <w:sz w:val="12"/>
                          <w:szCs w:val="12"/>
                          <w:lang w:val="en-GB"/>
                        </w:rPr>
                        <w:t>neral for Justice and Consumers</w:t>
                      </w:r>
                    </w:p>
                    <w:p w14:paraId="118168B6" w14:textId="6038ABF3" w:rsidR="00E44838" w:rsidRPr="00D4168C" w:rsidRDefault="00E44838"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 </w:t>
                      </w:r>
                      <w:r>
                        <w:rPr>
                          <w:rFonts w:ascii="DejaVuSansCondensed" w:hAnsi="DejaVuSansCondensed" w:cs="DejaVuSansCondensed"/>
                          <w:sz w:val="12"/>
                          <w:szCs w:val="12"/>
                          <w:lang w:val="en-GB"/>
                        </w:rPr>
                        <w:t xml:space="preserve">(Project no. </w:t>
                      </w:r>
                      <w:r w:rsidRPr="00757A01">
                        <w:rPr>
                          <w:rFonts w:ascii="DejaVuSansCondensed" w:hAnsi="DejaVuSansCondensed" w:cs="DejaVuSansCondensed"/>
                          <w:sz w:val="12"/>
                          <w:szCs w:val="12"/>
                          <w:lang w:val="en-GB"/>
                        </w:rPr>
                        <w:t>101089737</w:t>
                      </w:r>
                      <w:r>
                        <w:rPr>
                          <w:rFonts w:ascii="DejaVuSansCondensed" w:hAnsi="DejaVuSansCondensed" w:cs="DejaVuSansCondensed"/>
                          <w:sz w:val="12"/>
                          <w:szCs w:val="12"/>
                          <w:lang w:val="en-GB"/>
                        </w:rPr>
                        <w:t>)</w:t>
                      </w:r>
                    </w:p>
                    <w:p w14:paraId="2C9AD7A0" w14:textId="77777777" w:rsidR="00E44838" w:rsidRDefault="00E44838" w:rsidP="00757A01">
                      <w:pPr>
                        <w:pStyle w:val="Navadensplet"/>
                        <w:spacing w:before="0" w:beforeAutospacing="0" w:after="0" w:afterAutospacing="0"/>
                        <w:jc w:val="right"/>
                        <w:textAlignment w:val="baseline"/>
                      </w:pPr>
                    </w:p>
                  </w:txbxContent>
                </v:textbox>
                <w10:wrap anchorx="margin"/>
              </v:shape>
            </w:pict>
          </mc:Fallback>
        </mc:AlternateContent>
      </w:r>
      <w:r w:rsidRPr="00623F6B">
        <w:rPr>
          <w:rFonts w:ascii="Arial" w:hAnsi="Arial" w:cs="Arial"/>
          <w:b/>
          <w:noProof/>
          <w:sz w:val="25"/>
          <w:szCs w:val="25"/>
          <w:lang w:val="en-GB" w:eastAsia="sl-SI"/>
        </w:rPr>
        <w:drawing>
          <wp:anchor distT="0" distB="0" distL="114300" distR="114300" simplePos="0" relativeHeight="251653120" behindDoc="0" locked="0" layoutInCell="1" allowOverlap="1" wp14:anchorId="6AC5C66D" wp14:editId="405A34AA">
            <wp:simplePos x="0" y="0"/>
            <wp:positionH relativeFrom="margin">
              <wp:posOffset>5139055</wp:posOffset>
            </wp:positionH>
            <wp:positionV relativeFrom="paragraph">
              <wp:posOffset>-480695</wp:posOffset>
            </wp:positionV>
            <wp:extent cx="701040" cy="475306"/>
            <wp:effectExtent l="0" t="0" r="3810" b="1270"/>
            <wp:wrapNone/>
            <wp:docPr id="3075" name="Content Placeholder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5" name="Content Placeholder 9"/>
                    <pic:cNvPicPr>
                      <a:picLocks noGrp="1" noChangeAspect="1"/>
                    </pic:cNvPicPr>
                  </pic:nvPicPr>
                  <pic:blipFill>
                    <a:blip r:embed="rId13"/>
                    <a:stretch>
                      <a:fillRect/>
                    </a:stretch>
                  </pic:blipFill>
                  <pic:spPr>
                    <a:xfrm>
                      <a:off x="0" y="0"/>
                      <a:ext cx="701040" cy="475306"/>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623F6B">
        <w:rPr>
          <w:lang w:val="en-GB"/>
        </w:rPr>
        <w:t xml:space="preserve">               </w:t>
      </w:r>
    </w:p>
    <w:p w14:paraId="165DDF2F" w14:textId="77777777" w:rsidR="00757A01" w:rsidRPr="00623F6B" w:rsidRDefault="00757A01" w:rsidP="00757A01">
      <w:pPr>
        <w:autoSpaceDE w:val="0"/>
        <w:autoSpaceDN w:val="0"/>
        <w:adjustRightInd w:val="0"/>
        <w:spacing w:after="0" w:line="22" w:lineRule="atLeast"/>
        <w:rPr>
          <w:rFonts w:ascii="Arial" w:hAnsi="Arial" w:cs="Arial"/>
          <w:b/>
          <w:bCs/>
          <w:sz w:val="25"/>
          <w:szCs w:val="25"/>
          <w:lang w:val="en-GB"/>
        </w:rPr>
      </w:pPr>
    </w:p>
    <w:p w14:paraId="2A47DA47" w14:textId="77777777" w:rsidR="00757A01" w:rsidRPr="00623F6B" w:rsidRDefault="00757A01" w:rsidP="00757A01">
      <w:pPr>
        <w:spacing w:line="22" w:lineRule="atLeast"/>
        <w:rPr>
          <w:rFonts w:ascii="Arial" w:hAnsi="Arial" w:cs="Arial"/>
          <w:b/>
          <w:bCs/>
          <w:sz w:val="25"/>
          <w:szCs w:val="25"/>
          <w:lang w:val="en-GB"/>
        </w:rPr>
      </w:pPr>
    </w:p>
    <w:p w14:paraId="70F3BC87" w14:textId="77777777" w:rsidR="00C449F3" w:rsidRPr="00623F6B" w:rsidRDefault="00C449F3" w:rsidP="006B695C">
      <w:pPr>
        <w:spacing w:line="22" w:lineRule="atLeast"/>
        <w:rPr>
          <w:rFonts w:ascii="DejaVu Sans Condensed" w:hAnsi="DejaVu Sans Condensed" w:cs="DejaVu Sans Condensed"/>
          <w:b/>
          <w:bCs/>
          <w:sz w:val="32"/>
          <w:szCs w:val="32"/>
          <w:lang w:val="en-GB"/>
        </w:rPr>
      </w:pPr>
    </w:p>
    <w:p w14:paraId="3515B684" w14:textId="1AD25C15" w:rsidR="00C449F3" w:rsidRPr="00623F6B" w:rsidRDefault="00C449F3" w:rsidP="002C2779">
      <w:pPr>
        <w:spacing w:line="22" w:lineRule="atLeast"/>
        <w:jc w:val="center"/>
        <w:rPr>
          <w:rFonts w:ascii="DejaVu Sans Condensed" w:hAnsi="DejaVu Sans Condensed" w:cs="DejaVu Sans Condensed"/>
          <w:b/>
          <w:bCs/>
          <w:sz w:val="32"/>
          <w:szCs w:val="32"/>
          <w:lang w:val="en-GB"/>
        </w:rPr>
      </w:pPr>
      <w:r w:rsidRPr="00623F6B">
        <w:rPr>
          <w:rFonts w:ascii="DejaVu Sans Condensed" w:hAnsi="DejaVu Sans Condensed" w:cs="DejaVu Sans Condensed"/>
          <w:b/>
          <w:bCs/>
          <w:sz w:val="32"/>
          <w:szCs w:val="32"/>
          <w:lang w:val="en-GB"/>
        </w:rPr>
        <w:t>FREEDOM OF EXPRESSION AND ASSOCIATION OF JUDGES</w:t>
      </w:r>
    </w:p>
    <w:p w14:paraId="1E461F28" w14:textId="4E5AC93C" w:rsidR="002C2779" w:rsidRPr="00623F6B" w:rsidRDefault="004B5720" w:rsidP="00C449F3">
      <w:pPr>
        <w:autoSpaceDE w:val="0"/>
        <w:autoSpaceDN w:val="0"/>
        <w:adjustRightInd w:val="0"/>
        <w:spacing w:after="0" w:line="22" w:lineRule="atLeast"/>
        <w:jc w:val="center"/>
        <w:rPr>
          <w:rFonts w:ascii="DejaVu Sans Condensed" w:hAnsi="DejaVu Sans Condensed" w:cs="DejaVu Sans Condensed"/>
          <w:sz w:val="24"/>
          <w:szCs w:val="24"/>
          <w:lang w:val="en-GB"/>
        </w:rPr>
      </w:pPr>
      <w:r w:rsidRPr="00623F6B">
        <w:rPr>
          <w:rFonts w:ascii="DejaVu Sans Condensed" w:hAnsi="DejaVu Sans Condensed" w:cs="DejaVu Sans Condensed"/>
          <w:sz w:val="24"/>
          <w:szCs w:val="24"/>
          <w:lang w:val="en-GB"/>
        </w:rPr>
        <w:t xml:space="preserve"> </w:t>
      </w:r>
    </w:p>
    <w:p w14:paraId="4D4D00CE" w14:textId="204AB77A" w:rsidR="00C449F3" w:rsidRPr="00623F6B" w:rsidRDefault="00C449F3" w:rsidP="002C2779">
      <w:pPr>
        <w:autoSpaceDE w:val="0"/>
        <w:autoSpaceDN w:val="0"/>
        <w:adjustRightInd w:val="0"/>
        <w:spacing w:after="0" w:line="22" w:lineRule="atLeast"/>
        <w:jc w:val="center"/>
        <w:rPr>
          <w:rFonts w:ascii="DejaVu Sans Condensed" w:hAnsi="DejaVu Sans Condensed" w:cs="DejaVu Sans Condensed"/>
          <w:sz w:val="24"/>
          <w:szCs w:val="24"/>
          <w:lang w:val="en-GB"/>
        </w:rPr>
      </w:pPr>
      <w:r w:rsidRPr="00623F6B">
        <w:rPr>
          <w:rFonts w:ascii="DejaVu Sans Condensed" w:hAnsi="DejaVu Sans Condensed" w:cs="DejaVu Sans Condensed"/>
          <w:sz w:val="24"/>
          <w:szCs w:val="24"/>
          <w:lang w:val="en-GB"/>
        </w:rPr>
        <w:t>HYBRID CROSS-BORDER TRAINING WORKSHOP FOR JUDGES, PROSECUTORS, ATTORNEYS AND OTHER LEGAL PROFESSIONALS</w:t>
      </w:r>
    </w:p>
    <w:p w14:paraId="1E0E23C8" w14:textId="77777777" w:rsidR="002C2779" w:rsidRPr="00623F6B" w:rsidRDefault="002C2779" w:rsidP="002C2779">
      <w:pPr>
        <w:autoSpaceDE w:val="0"/>
        <w:autoSpaceDN w:val="0"/>
        <w:adjustRightInd w:val="0"/>
        <w:spacing w:after="0" w:line="22" w:lineRule="atLeast"/>
        <w:jc w:val="center"/>
        <w:rPr>
          <w:rFonts w:ascii="DejaVu Sans Condensed" w:hAnsi="DejaVu Sans Condensed" w:cs="DejaVu Sans Condensed"/>
          <w:sz w:val="24"/>
          <w:szCs w:val="24"/>
          <w:lang w:val="en-GB"/>
        </w:rPr>
      </w:pPr>
    </w:p>
    <w:p w14:paraId="1E24C497" w14:textId="13614124" w:rsidR="00C449F3" w:rsidRPr="00623F6B" w:rsidRDefault="00C449F3" w:rsidP="00C449F3">
      <w:pPr>
        <w:jc w:val="center"/>
        <w:rPr>
          <w:rFonts w:ascii="DejaVu Sans Condensed" w:hAnsi="DejaVu Sans Condensed" w:cs="DejaVu Sans Condensed"/>
          <w:b/>
          <w:bCs/>
          <w:sz w:val="24"/>
          <w:szCs w:val="24"/>
          <w:lang w:val="en-GB" w:eastAsia="sl-SI"/>
        </w:rPr>
      </w:pPr>
      <w:r w:rsidRPr="00623F6B">
        <w:rPr>
          <w:rFonts w:ascii="DejaVu Sans Condensed" w:hAnsi="DejaVu Sans Condensed" w:cs="DejaVu Sans Condensed"/>
          <w:b/>
          <w:bCs/>
          <w:sz w:val="24"/>
          <w:szCs w:val="24"/>
          <w:lang w:val="en-GB" w:eastAsia="sl-SI"/>
        </w:rPr>
        <w:t>Preparatory materials – part 1</w:t>
      </w:r>
    </w:p>
    <w:p w14:paraId="0396A1F6" w14:textId="77777777" w:rsidR="00C449F3" w:rsidRPr="00623F6B" w:rsidRDefault="00C449F3" w:rsidP="00C449F3">
      <w:pPr>
        <w:jc w:val="center"/>
        <w:rPr>
          <w:rFonts w:ascii="DejaVu Sans Condensed" w:hAnsi="DejaVu Sans Condensed" w:cs="DejaVu Sans Condensed"/>
          <w:b/>
          <w:bCs/>
          <w:lang w:val="en-GB" w:eastAsia="sl-SI"/>
        </w:rPr>
      </w:pPr>
    </w:p>
    <w:p w14:paraId="44D00A52" w14:textId="77777777" w:rsidR="00C449F3" w:rsidRPr="00623F6B" w:rsidRDefault="00C449F3" w:rsidP="004B5720">
      <w:pPr>
        <w:pStyle w:val="Brezrazmikov"/>
        <w:numPr>
          <w:ilvl w:val="0"/>
          <w:numId w:val="8"/>
        </w:numPr>
        <w:rPr>
          <w:rFonts w:ascii="DejaVu Sans Condensed" w:hAnsi="DejaVu Sans Condensed" w:cs="DejaVu Sans Condensed"/>
          <w:sz w:val="24"/>
          <w:szCs w:val="24"/>
          <w:lang w:val="en-GB"/>
        </w:rPr>
      </w:pPr>
      <w:r w:rsidRPr="00623F6B">
        <w:rPr>
          <w:rFonts w:ascii="DejaVu Sans Condensed" w:hAnsi="DejaVu Sans Condensed" w:cs="DejaVu Sans Condensed"/>
          <w:sz w:val="24"/>
          <w:szCs w:val="24"/>
          <w:lang w:val="en-GB"/>
        </w:rPr>
        <w:fldChar w:fldCharType="begin"/>
      </w:r>
      <w:r w:rsidRPr="00623F6B">
        <w:rPr>
          <w:rFonts w:ascii="DejaVu Sans Condensed" w:hAnsi="DejaVu Sans Condensed" w:cs="DejaVu Sans Condensed"/>
          <w:sz w:val="24"/>
          <w:szCs w:val="24"/>
          <w:lang w:val="en-GB"/>
        </w:rPr>
        <w:instrText xml:space="preserve"> ADDIN ZOTERO_ITEM CSL_CITATION {"citationID":"HKYnS8pe","properties":{"formattedCitation":"Sietske Dijkstra, \\uc0\\u8216{}The Freedom of the Judge to Express His Personal Opinions and Convictions under the ECHR\\uc0\\u8217{} (2017) 13 Utrecht Law Review 1.","plainCitation":"Sietske Dijkstra, ‘The Freedom of the Judge to Express His Personal Opinions and Convictions under the ECHR’ (2017) 13 Utrecht Law Review 1.","noteIndex":1},"citationItems":[{"id":39,"uris":["http://zotero.org/users/local/b1zS8mht/items/WBX8QHX5"],"itemData":{"id":39,"type":"article-journal","abstract":"The Utrecht Law Review is an open-access peer-reviewed journal which aims to offer an international academic platform for cross-border legal research. In the first place, this concerns research in which the boundaries of the classic branches of the law (private law, criminal law, constitutional and administrative law, European and public international law) are crossed and connections are made between these areas of the law, amongst others from a comparative law perspective. In addition, the journal welcomes research in which classic law is brought face to face with not strictly legal disciplines such as philosophy, economics, political sciences and public administration science.The journal was established in 2005 and is affiliated to the Utrecht University School of Law. If you wish to receive e-mail alerts please join the mailing list.","container-title":"Utrecht Law Review","DOI":"10.18352/ulr.371","ISSN":"1871-515X","issue":"1","language":"en","license":"Authors who publish with this journal agree to the following terms:    Authors retain copyright and grant the journal right of first publication with the work simultaneously licensed under a  Creative Commons Attribution License  that allows others to share the work with an acknowledgement of the work's authorship and initial publication in this journal.  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  Authors are permitted and encouraged to post their work online (e.g., in institutional repositories or on their website) prior to and during the submission process, as it can lead to productive exchanges, as well as earlier and greater citation of published work (See  The Effect of Open Access ).  All third-party images reproduced on this journal are shared under Educational Fair Use. For more information on  Educational Fair Use , please see  this useful checklist prepared by Columbia University Libraries .   All copyright  of third-party content posted here for research purposes belongs to its original owners.  Unless otherwise stated all references to characters and comic art presented on this journal are ©, ® or ™ of their respective owners. No challenge to any owner’s rights is intended or should be inferred.","note":"number: 1","page":"1-17","source":"www.utrechtlawreview.org","title":"The Freedom of the Judge to Express his Personal Opinions and Convictions under the ECHR","volume":"13","author":[{"family":"Dijkstra","given":"Sietske"}],"issued":{"date-parts":[["2017",1,31]]}}}],"schema":"https://github.com/citation-style-language/schema/raw/master/csl-citation.json"} </w:instrText>
      </w:r>
      <w:r w:rsidRPr="00623F6B">
        <w:rPr>
          <w:rFonts w:ascii="DejaVu Sans Condensed" w:hAnsi="DejaVu Sans Condensed" w:cs="DejaVu Sans Condensed"/>
          <w:sz w:val="24"/>
          <w:szCs w:val="24"/>
          <w:lang w:val="en-GB"/>
        </w:rPr>
        <w:fldChar w:fldCharType="separate"/>
      </w:r>
      <w:r w:rsidRPr="00623F6B">
        <w:rPr>
          <w:rFonts w:ascii="DejaVu Sans Condensed" w:hAnsi="DejaVu Sans Condensed" w:cs="DejaVu Sans Condensed"/>
          <w:sz w:val="24"/>
          <w:szCs w:val="24"/>
          <w:lang w:val="en-GB"/>
        </w:rPr>
        <w:t>Sietske Dijkstra, ‘The Freedom of the Judge to Express His Personal Opinions and Convictions under the ECHR’ (2017) 13 Utrecht Law Review 1</w:t>
      </w:r>
      <w:r w:rsidRPr="00623F6B">
        <w:rPr>
          <w:rFonts w:ascii="DejaVu Sans Condensed" w:hAnsi="DejaVu Sans Condensed" w:cs="DejaVu Sans Condensed"/>
          <w:sz w:val="24"/>
          <w:szCs w:val="24"/>
          <w:lang w:val="en-GB"/>
        </w:rPr>
        <w:fldChar w:fldCharType="end"/>
      </w:r>
      <w:r w:rsidRPr="00623F6B">
        <w:rPr>
          <w:rFonts w:ascii="DejaVu Sans Condensed" w:hAnsi="DejaVu Sans Condensed" w:cs="DejaVu Sans Condensed"/>
          <w:sz w:val="24"/>
          <w:szCs w:val="24"/>
          <w:lang w:val="en-GB"/>
        </w:rPr>
        <w:t xml:space="preserve">, available at: </w:t>
      </w:r>
      <w:hyperlink r:id="rId14" w:history="1">
        <w:r w:rsidRPr="00623F6B">
          <w:rPr>
            <w:rStyle w:val="Hiperpovezava"/>
            <w:rFonts w:ascii="DejaVu Sans Condensed" w:hAnsi="DejaVu Sans Condensed" w:cs="DejaVu Sans Condensed"/>
            <w:sz w:val="24"/>
            <w:szCs w:val="24"/>
            <w:lang w:val="en-GB"/>
          </w:rPr>
          <w:t>https://utrechtlawreview.org/articles/10.18352/ulr.371</w:t>
        </w:r>
      </w:hyperlink>
      <w:r w:rsidRPr="00623F6B">
        <w:rPr>
          <w:rFonts w:ascii="DejaVu Sans Condensed" w:hAnsi="DejaVu Sans Condensed" w:cs="DejaVu Sans Condensed"/>
          <w:sz w:val="24"/>
          <w:szCs w:val="24"/>
          <w:lang w:val="en-GB"/>
        </w:rPr>
        <w:t xml:space="preserve"> </w:t>
      </w:r>
    </w:p>
    <w:p w14:paraId="7C28CF37" w14:textId="77777777" w:rsidR="00C449F3" w:rsidRPr="00623F6B" w:rsidRDefault="00C449F3" w:rsidP="00C449F3">
      <w:pPr>
        <w:pStyle w:val="Brezrazmikov"/>
        <w:rPr>
          <w:rFonts w:ascii="DejaVu Sans Condensed" w:hAnsi="DejaVu Sans Condensed" w:cs="DejaVu Sans Condensed"/>
          <w:sz w:val="24"/>
          <w:szCs w:val="24"/>
          <w:lang w:val="en-GB"/>
        </w:rPr>
      </w:pPr>
    </w:p>
    <w:p w14:paraId="44A2729B" w14:textId="6CFA5F8E" w:rsidR="00C449F3" w:rsidRPr="00623F6B" w:rsidRDefault="00C449F3" w:rsidP="004B5720">
      <w:pPr>
        <w:pStyle w:val="Brezrazmikov"/>
        <w:numPr>
          <w:ilvl w:val="0"/>
          <w:numId w:val="8"/>
        </w:numPr>
        <w:rPr>
          <w:rFonts w:ascii="DejaVu Sans Condensed" w:hAnsi="DejaVu Sans Condensed" w:cs="DejaVu Sans Condensed"/>
          <w:sz w:val="24"/>
          <w:szCs w:val="24"/>
          <w:lang w:val="en-GB"/>
        </w:rPr>
      </w:pPr>
      <w:r w:rsidRPr="00623F6B">
        <w:rPr>
          <w:rFonts w:ascii="DejaVu Sans Condensed" w:hAnsi="DejaVu Sans Condensed" w:cs="DejaVu Sans Condensed"/>
          <w:sz w:val="24"/>
          <w:szCs w:val="24"/>
          <w:lang w:val="en-GB" w:eastAsia="sl-SI"/>
        </w:rPr>
        <w:t>The Right to Freedom of Expression of Magistrates and its Challenges (Viktor Vadász)</w:t>
      </w:r>
      <w:r w:rsidR="006B695C" w:rsidRPr="00623F6B">
        <w:rPr>
          <w:rFonts w:ascii="DejaVu Sans Condensed" w:hAnsi="DejaVu Sans Condensed" w:cs="DejaVu Sans Condensed"/>
          <w:sz w:val="24"/>
          <w:szCs w:val="24"/>
          <w:lang w:val="en-GB" w:eastAsia="sl-SI"/>
        </w:rPr>
        <w:t xml:space="preserve">, </w:t>
      </w:r>
      <w:r w:rsidR="006B695C" w:rsidRPr="00623F6B">
        <w:rPr>
          <w:rFonts w:ascii="DejaVu Sans Condensed" w:hAnsi="DejaVu Sans Condensed" w:cs="DejaVu Sans Condensed"/>
          <w:sz w:val="24"/>
          <w:szCs w:val="24"/>
          <w:lang w:val="en-GB"/>
        </w:rPr>
        <w:t>available at:</w:t>
      </w:r>
      <w:r w:rsidRPr="00623F6B">
        <w:rPr>
          <w:rFonts w:ascii="DejaVu Sans Condensed" w:hAnsi="DejaVu Sans Condensed" w:cs="DejaVu Sans Condensed"/>
          <w:sz w:val="24"/>
          <w:szCs w:val="24"/>
          <w:lang w:val="en-GB" w:eastAsia="sl-SI"/>
        </w:rPr>
        <w:t xml:space="preserve"> </w:t>
      </w:r>
      <w:hyperlink r:id="rId15" w:history="1">
        <w:r w:rsidRPr="00623F6B">
          <w:rPr>
            <w:rStyle w:val="Hiperpovezava"/>
            <w:rFonts w:ascii="DejaVu Sans Condensed" w:hAnsi="DejaVu Sans Condensed" w:cs="DejaVu Sans Condensed"/>
            <w:sz w:val="24"/>
            <w:szCs w:val="24"/>
            <w:lang w:val="en-GB"/>
          </w:rPr>
          <w:t>https://www.youtube.com/watch?v=WxRFNTrc1zc</w:t>
        </w:r>
      </w:hyperlink>
      <w:r w:rsidRPr="00623F6B">
        <w:rPr>
          <w:rFonts w:ascii="DejaVu Sans Condensed" w:hAnsi="DejaVu Sans Condensed" w:cs="DejaVu Sans Condensed"/>
          <w:sz w:val="24"/>
          <w:szCs w:val="24"/>
          <w:lang w:val="en-GB"/>
        </w:rPr>
        <w:t xml:space="preserve"> </w:t>
      </w:r>
    </w:p>
    <w:p w14:paraId="27138771" w14:textId="77777777" w:rsidR="00C449F3" w:rsidRPr="00623F6B" w:rsidRDefault="00C449F3" w:rsidP="00C449F3">
      <w:pPr>
        <w:pStyle w:val="Brezrazmikov"/>
        <w:rPr>
          <w:rFonts w:ascii="DejaVu Sans Condensed" w:hAnsi="DejaVu Sans Condensed" w:cs="DejaVu Sans Condensed"/>
          <w:sz w:val="24"/>
          <w:szCs w:val="24"/>
          <w:lang w:val="en-GB"/>
        </w:rPr>
      </w:pPr>
    </w:p>
    <w:p w14:paraId="333FB971" w14:textId="6C0E20C8" w:rsidR="00C449F3" w:rsidRPr="00623F6B" w:rsidRDefault="00C449F3" w:rsidP="004B5720">
      <w:pPr>
        <w:pStyle w:val="Brezrazmikov"/>
        <w:numPr>
          <w:ilvl w:val="0"/>
          <w:numId w:val="8"/>
        </w:numPr>
        <w:rPr>
          <w:rFonts w:ascii="DejaVu Sans Condensed" w:hAnsi="DejaVu Sans Condensed" w:cs="DejaVu Sans Condensed"/>
          <w:sz w:val="24"/>
          <w:szCs w:val="24"/>
          <w:lang w:val="en-GB"/>
        </w:rPr>
      </w:pPr>
      <w:r w:rsidRPr="00623F6B">
        <w:rPr>
          <w:rFonts w:ascii="DejaVu Sans Condensed" w:hAnsi="DejaVu Sans Condensed" w:cs="DejaVu Sans Condensed"/>
          <w:sz w:val="24"/>
          <w:szCs w:val="24"/>
          <w:lang w:val="en-GB"/>
        </w:rPr>
        <w:t>The Freedom of Expression of the Judge under Article 10 ECHR (Sietske Dijkstra</w:t>
      </w:r>
      <w:r w:rsidR="006B695C" w:rsidRPr="00623F6B">
        <w:rPr>
          <w:rFonts w:ascii="DejaVu Sans Condensed" w:hAnsi="DejaVu Sans Condensed" w:cs="DejaVu Sans Condensed"/>
          <w:sz w:val="24"/>
          <w:szCs w:val="24"/>
          <w:lang w:val="en-GB"/>
        </w:rPr>
        <w:t>), available at:</w:t>
      </w:r>
      <w:r w:rsidRPr="00623F6B">
        <w:rPr>
          <w:rFonts w:ascii="DejaVu Sans Condensed" w:hAnsi="DejaVu Sans Condensed" w:cs="DejaVu Sans Condensed"/>
          <w:sz w:val="24"/>
          <w:szCs w:val="24"/>
          <w:lang w:val="en-GB"/>
        </w:rPr>
        <w:t xml:space="preserve"> </w:t>
      </w:r>
      <w:hyperlink r:id="rId16" w:history="1">
        <w:r w:rsidRPr="00623F6B">
          <w:rPr>
            <w:rStyle w:val="Hiperpovezava"/>
            <w:rFonts w:ascii="DejaVu Sans Condensed" w:hAnsi="DejaVu Sans Condensed" w:cs="DejaVu Sans Condensed"/>
            <w:sz w:val="24"/>
            <w:szCs w:val="24"/>
            <w:lang w:val="en-GB"/>
          </w:rPr>
          <w:t>https://www.youtube.com/watch?v=KXd-RjI51pI&amp;t=841s</w:t>
        </w:r>
      </w:hyperlink>
      <w:r w:rsidRPr="00623F6B">
        <w:rPr>
          <w:rFonts w:ascii="DejaVu Sans Condensed" w:hAnsi="DejaVu Sans Condensed" w:cs="DejaVu Sans Condensed"/>
          <w:sz w:val="24"/>
          <w:szCs w:val="24"/>
          <w:lang w:val="en-GB"/>
        </w:rPr>
        <w:t xml:space="preserve"> </w:t>
      </w:r>
    </w:p>
    <w:p w14:paraId="2EB9F127" w14:textId="77777777" w:rsidR="00C449F3" w:rsidRPr="00623F6B" w:rsidRDefault="00C449F3" w:rsidP="00C449F3">
      <w:pPr>
        <w:pStyle w:val="Brezrazmikov"/>
        <w:rPr>
          <w:rFonts w:ascii="DejaVu Sans Condensed" w:hAnsi="DejaVu Sans Condensed" w:cs="DejaVu Sans Condensed"/>
          <w:sz w:val="24"/>
          <w:szCs w:val="24"/>
          <w:lang w:val="en-GB"/>
        </w:rPr>
      </w:pPr>
    </w:p>
    <w:p w14:paraId="2E653B7D" w14:textId="68AC88E0" w:rsidR="00C449F3" w:rsidRPr="00623F6B" w:rsidRDefault="00C449F3" w:rsidP="004B5720">
      <w:pPr>
        <w:pStyle w:val="Brezrazmikov"/>
        <w:numPr>
          <w:ilvl w:val="0"/>
          <w:numId w:val="8"/>
        </w:numPr>
        <w:rPr>
          <w:rFonts w:ascii="DejaVu Sans Condensed" w:hAnsi="DejaVu Sans Condensed" w:cs="DejaVu Sans Condensed"/>
          <w:sz w:val="24"/>
          <w:szCs w:val="24"/>
          <w:lang w:val="en-GB"/>
        </w:rPr>
      </w:pPr>
      <w:r w:rsidRPr="00623F6B">
        <w:rPr>
          <w:rFonts w:ascii="DejaVu Sans Condensed" w:hAnsi="DejaVu Sans Condensed" w:cs="DejaVu Sans Condensed"/>
          <w:sz w:val="24"/>
          <w:szCs w:val="24"/>
          <w:lang w:val="en-GB"/>
        </w:rPr>
        <w:t>Factsheet – Independence of the justice system, Press Unit of the European Court of Human Rights (August 2023), p. 27–32</w:t>
      </w:r>
      <w:r w:rsidR="006B695C" w:rsidRPr="00623F6B">
        <w:rPr>
          <w:rFonts w:ascii="DejaVu Sans Condensed" w:hAnsi="DejaVu Sans Condensed" w:cs="DejaVu Sans Condensed"/>
          <w:sz w:val="24"/>
          <w:szCs w:val="24"/>
          <w:lang w:val="en-GB"/>
        </w:rPr>
        <w:t xml:space="preserve">, available at: </w:t>
      </w:r>
      <w:hyperlink r:id="rId17" w:history="1">
        <w:r w:rsidR="006B695C" w:rsidRPr="00623F6B">
          <w:rPr>
            <w:rStyle w:val="Hiperpovezava"/>
            <w:rFonts w:ascii="DejaVu Sans Condensed" w:hAnsi="DejaVu Sans Condensed" w:cs="DejaVu Sans Condensed"/>
            <w:sz w:val="24"/>
            <w:szCs w:val="24"/>
            <w:lang w:val="en-GB"/>
          </w:rPr>
          <w:t>https://www.echr.coe.int/documents/d/echr/fs_independence_justice_eng</w:t>
        </w:r>
      </w:hyperlink>
      <w:r w:rsidRPr="00623F6B">
        <w:rPr>
          <w:rFonts w:ascii="DejaVu Sans Condensed" w:hAnsi="DejaVu Sans Condensed" w:cs="DejaVu Sans Condensed"/>
          <w:sz w:val="24"/>
          <w:szCs w:val="24"/>
          <w:lang w:val="en-GB"/>
        </w:rPr>
        <w:t xml:space="preserve"> </w:t>
      </w:r>
    </w:p>
    <w:p w14:paraId="7CA7E779" w14:textId="77777777" w:rsidR="00C449F3" w:rsidRPr="00623F6B" w:rsidRDefault="00C449F3" w:rsidP="00C449F3">
      <w:pPr>
        <w:pStyle w:val="Brezrazmikov"/>
        <w:rPr>
          <w:rFonts w:ascii="DejaVu Sans Condensed" w:hAnsi="DejaVu Sans Condensed" w:cs="DejaVu Sans Condensed"/>
          <w:sz w:val="24"/>
          <w:szCs w:val="24"/>
          <w:lang w:val="en-GB"/>
        </w:rPr>
      </w:pPr>
    </w:p>
    <w:p w14:paraId="50680E95" w14:textId="18851FB8" w:rsidR="00C449F3" w:rsidRPr="00623F6B" w:rsidRDefault="00C449F3" w:rsidP="004B5720">
      <w:pPr>
        <w:pStyle w:val="Brezrazmikov"/>
        <w:numPr>
          <w:ilvl w:val="0"/>
          <w:numId w:val="8"/>
        </w:numPr>
        <w:rPr>
          <w:rFonts w:ascii="DejaVu Sans Condensed" w:hAnsi="DejaVu Sans Condensed" w:cs="DejaVu Sans Condensed"/>
          <w:bCs/>
          <w:sz w:val="24"/>
          <w:szCs w:val="24"/>
          <w:lang w:val="en-GB"/>
        </w:rPr>
      </w:pPr>
      <w:r w:rsidRPr="00695DD8">
        <w:rPr>
          <w:rFonts w:ascii="DejaVu Sans Condensed" w:hAnsi="DejaVu Sans Condensed" w:cs="DejaVu Sans Condensed"/>
          <w:bCs/>
          <w:sz w:val="24"/>
          <w:szCs w:val="24"/>
          <w:lang w:val="en-GB"/>
        </w:rPr>
        <w:t xml:space="preserve">Hypothetical case scenario 1: </w:t>
      </w:r>
      <w:r w:rsidR="00695DD8" w:rsidRPr="00695DD8">
        <w:rPr>
          <w:rFonts w:ascii="DejaVu Sans Condensed" w:hAnsi="DejaVu Sans Condensed" w:cs="DejaVu Sans Condensed"/>
          <w:bCs/>
          <w:sz w:val="24"/>
          <w:szCs w:val="24"/>
          <w:lang w:val="en-GB"/>
        </w:rPr>
        <w:t>Freedom of Expression and the Whistleblower Directive</w:t>
      </w:r>
      <w:r w:rsidR="00695DD8" w:rsidRPr="00623F6B">
        <w:rPr>
          <w:rFonts w:ascii="DejaVu Sans Condensed" w:hAnsi="DejaVu Sans Condensed" w:cs="DejaVu Sans Condensed"/>
          <w:bCs/>
          <w:sz w:val="24"/>
          <w:szCs w:val="24"/>
          <w:lang w:val="en-GB"/>
        </w:rPr>
        <w:t xml:space="preserve"> </w:t>
      </w:r>
      <w:r w:rsidRPr="00623F6B">
        <w:rPr>
          <w:rFonts w:ascii="DejaVu Sans Condensed" w:hAnsi="DejaVu Sans Condensed" w:cs="DejaVu Sans Condensed"/>
          <w:bCs/>
          <w:sz w:val="24"/>
          <w:szCs w:val="24"/>
          <w:lang w:val="en-GB"/>
        </w:rPr>
        <w:t>(attachment)</w:t>
      </w:r>
    </w:p>
    <w:p w14:paraId="43044D42" w14:textId="77777777" w:rsidR="00C449F3" w:rsidRPr="00623F6B" w:rsidRDefault="00C449F3" w:rsidP="00C449F3">
      <w:pPr>
        <w:pStyle w:val="Brezrazmikov"/>
        <w:rPr>
          <w:rFonts w:ascii="DejaVu Sans Condensed" w:hAnsi="DejaVu Sans Condensed" w:cs="DejaVu Sans Condensed"/>
          <w:bCs/>
          <w:sz w:val="24"/>
          <w:szCs w:val="24"/>
          <w:lang w:val="en-GB"/>
        </w:rPr>
      </w:pPr>
    </w:p>
    <w:p w14:paraId="2F1A5FE9" w14:textId="77777777" w:rsidR="00623F6B" w:rsidRDefault="00C449F3" w:rsidP="00623F6B">
      <w:pPr>
        <w:pStyle w:val="Brezrazmikov"/>
        <w:numPr>
          <w:ilvl w:val="0"/>
          <w:numId w:val="8"/>
        </w:numPr>
        <w:rPr>
          <w:rFonts w:ascii="DejaVu Sans Condensed" w:hAnsi="DejaVu Sans Condensed" w:cs="DejaVu Sans Condensed"/>
          <w:bCs/>
          <w:sz w:val="24"/>
          <w:szCs w:val="24"/>
          <w:lang w:val="en-GB"/>
        </w:rPr>
      </w:pPr>
      <w:r w:rsidRPr="00623F6B">
        <w:rPr>
          <w:rFonts w:ascii="DejaVu Sans Condensed" w:hAnsi="DejaVu Sans Condensed" w:cs="DejaVu Sans Condensed"/>
          <w:bCs/>
          <w:sz w:val="24"/>
          <w:szCs w:val="24"/>
          <w:lang w:val="en-GB"/>
        </w:rPr>
        <w:t>List of Article 10 ECHR cases of judges (attachment</w:t>
      </w:r>
      <w:r w:rsidR="00623F6B">
        <w:rPr>
          <w:rFonts w:ascii="DejaVu Sans Condensed" w:hAnsi="DejaVu Sans Condensed" w:cs="DejaVu Sans Condensed"/>
          <w:bCs/>
          <w:sz w:val="24"/>
          <w:szCs w:val="24"/>
          <w:lang w:val="en-GB"/>
        </w:rPr>
        <w:t>)</w:t>
      </w:r>
    </w:p>
    <w:p w14:paraId="0C4B4E91" w14:textId="77777777" w:rsidR="00171D97" w:rsidRDefault="00171D97" w:rsidP="00171D97">
      <w:pPr>
        <w:pStyle w:val="Odstavekseznama"/>
        <w:rPr>
          <w:rFonts w:ascii="DejaVu Sans Condensed" w:hAnsi="DejaVu Sans Condensed" w:cs="DejaVu Sans Condensed"/>
          <w:bCs/>
          <w:sz w:val="24"/>
          <w:szCs w:val="24"/>
          <w:lang w:val="en-GB"/>
        </w:rPr>
      </w:pPr>
    </w:p>
    <w:p w14:paraId="77E40B4D" w14:textId="7596E8D5" w:rsidR="00171D97" w:rsidRPr="00623F6B" w:rsidRDefault="00171D97" w:rsidP="00171D97">
      <w:pPr>
        <w:jc w:val="center"/>
        <w:rPr>
          <w:rFonts w:ascii="DejaVu Sans Condensed" w:hAnsi="DejaVu Sans Condensed" w:cs="DejaVu Sans Condensed"/>
          <w:b/>
          <w:bCs/>
          <w:sz w:val="24"/>
          <w:szCs w:val="24"/>
          <w:lang w:val="en-GB" w:eastAsia="sl-SI"/>
        </w:rPr>
      </w:pPr>
      <w:r w:rsidRPr="00623F6B">
        <w:rPr>
          <w:rFonts w:ascii="DejaVu Sans Condensed" w:hAnsi="DejaVu Sans Condensed" w:cs="DejaVu Sans Condensed"/>
          <w:b/>
          <w:bCs/>
          <w:sz w:val="24"/>
          <w:szCs w:val="24"/>
          <w:lang w:val="en-GB" w:eastAsia="sl-SI"/>
        </w:rPr>
        <w:t>Preparatory materials –</w:t>
      </w:r>
      <w:r>
        <w:rPr>
          <w:rFonts w:ascii="DejaVu Sans Condensed" w:hAnsi="DejaVu Sans Condensed" w:cs="DejaVu Sans Condensed"/>
          <w:b/>
          <w:bCs/>
          <w:sz w:val="24"/>
          <w:szCs w:val="24"/>
          <w:lang w:val="en-GB" w:eastAsia="sl-SI"/>
        </w:rPr>
        <w:t xml:space="preserve"> part 2</w:t>
      </w:r>
    </w:p>
    <w:p w14:paraId="23365EEA" w14:textId="77777777" w:rsidR="00171D97" w:rsidRDefault="00171D97" w:rsidP="00171D97">
      <w:pPr>
        <w:pStyle w:val="Odstavekseznama"/>
        <w:rPr>
          <w:rFonts w:ascii="DejaVu Sans Condensed" w:hAnsi="DejaVu Sans Condensed" w:cs="DejaVu Sans Condensed"/>
          <w:bCs/>
          <w:sz w:val="24"/>
          <w:szCs w:val="24"/>
          <w:lang w:val="en-GB"/>
        </w:rPr>
      </w:pPr>
    </w:p>
    <w:p w14:paraId="2F7417C4" w14:textId="3CDB365C" w:rsidR="005A60C9" w:rsidRDefault="005A60C9" w:rsidP="00623F6B">
      <w:pPr>
        <w:pStyle w:val="Brezrazmikov"/>
        <w:numPr>
          <w:ilvl w:val="0"/>
          <w:numId w:val="8"/>
        </w:numPr>
        <w:rPr>
          <w:rFonts w:ascii="DejaVu Sans Condensed" w:hAnsi="DejaVu Sans Condensed" w:cs="DejaVu Sans Condensed"/>
          <w:bCs/>
          <w:sz w:val="24"/>
          <w:szCs w:val="24"/>
          <w:lang w:val="en-GB"/>
        </w:rPr>
      </w:pPr>
      <w:r w:rsidRPr="005A60C9">
        <w:rPr>
          <w:rFonts w:ascii="DejaVu Sans Condensed" w:hAnsi="DejaVu Sans Condensed" w:cs="DejaVu Sans Condensed"/>
          <w:bCs/>
          <w:sz w:val="24"/>
          <w:szCs w:val="24"/>
          <w:lang w:val="en-GB"/>
        </w:rPr>
        <w:t>Thematic Booklet</w:t>
      </w:r>
      <w:r>
        <w:rPr>
          <w:rFonts w:ascii="DejaVu Sans Condensed" w:hAnsi="DejaVu Sans Condensed" w:cs="DejaVu Sans Condensed"/>
          <w:bCs/>
          <w:sz w:val="24"/>
          <w:szCs w:val="24"/>
          <w:lang w:val="en-GB"/>
        </w:rPr>
        <w:t xml:space="preserve">: </w:t>
      </w:r>
      <w:r w:rsidRPr="005A60C9">
        <w:rPr>
          <w:rFonts w:ascii="DejaVu Sans Condensed" w:hAnsi="DejaVu Sans Condensed" w:cs="DejaVu Sans Condensed"/>
          <w:bCs/>
          <w:sz w:val="24"/>
          <w:szCs w:val="24"/>
          <w:lang w:val="en-GB"/>
        </w:rPr>
        <w:t>Freedom of Expression and Association of Judges</w:t>
      </w:r>
    </w:p>
    <w:p w14:paraId="5A4D6616" w14:textId="77777777" w:rsidR="005A60C9" w:rsidRDefault="005A60C9" w:rsidP="005A60C9">
      <w:pPr>
        <w:pStyle w:val="Brezrazmikov"/>
        <w:ind w:left="720"/>
        <w:rPr>
          <w:rFonts w:ascii="DejaVu Sans Condensed" w:hAnsi="DejaVu Sans Condensed" w:cs="DejaVu Sans Condensed"/>
          <w:bCs/>
          <w:sz w:val="24"/>
          <w:szCs w:val="24"/>
          <w:lang w:val="en-GB"/>
        </w:rPr>
      </w:pPr>
    </w:p>
    <w:p w14:paraId="622DB7E1" w14:textId="52E7FD79" w:rsidR="005A60C9" w:rsidRPr="005A60C9" w:rsidRDefault="00702BF5" w:rsidP="005A60C9">
      <w:pPr>
        <w:pStyle w:val="Brezrazmikov"/>
        <w:numPr>
          <w:ilvl w:val="0"/>
          <w:numId w:val="8"/>
        </w:numPr>
        <w:rPr>
          <w:rFonts w:ascii="DejaVu Sans Condensed" w:hAnsi="DejaVu Sans Condensed" w:cs="DejaVu Sans Condensed"/>
          <w:bCs/>
          <w:sz w:val="24"/>
          <w:szCs w:val="24"/>
          <w:lang w:val="en-GB"/>
        </w:rPr>
      </w:pPr>
      <w:r w:rsidRPr="00702BF5">
        <w:rPr>
          <w:rFonts w:ascii="DejaVu Sans Condensed" w:hAnsi="DejaVu Sans Condensed" w:cs="DejaVu Sans Condensed"/>
          <w:bCs/>
          <w:sz w:val="24"/>
          <w:szCs w:val="24"/>
          <w:lang w:val="en-GB"/>
        </w:rPr>
        <w:t xml:space="preserve">Hypothetical </w:t>
      </w:r>
      <w:r w:rsidRPr="00695DD8">
        <w:rPr>
          <w:rFonts w:ascii="DejaVu Sans Condensed" w:hAnsi="DejaVu Sans Condensed" w:cs="DejaVu Sans Condensed"/>
          <w:bCs/>
          <w:sz w:val="24"/>
          <w:szCs w:val="24"/>
          <w:lang w:val="en-GB"/>
        </w:rPr>
        <w:t xml:space="preserve">case scenario </w:t>
      </w:r>
      <w:r w:rsidRPr="00702BF5">
        <w:rPr>
          <w:rFonts w:ascii="DejaVu Sans Condensed" w:hAnsi="DejaVu Sans Condensed" w:cs="DejaVu Sans Condensed"/>
          <w:bCs/>
          <w:sz w:val="24"/>
          <w:szCs w:val="24"/>
          <w:lang w:val="en-GB"/>
        </w:rPr>
        <w:t>2 - Political neutrality, freedom of association and the right to reply to media</w:t>
      </w:r>
    </w:p>
    <w:p w14:paraId="0BFC1E93" w14:textId="77777777" w:rsidR="005A60C9" w:rsidRDefault="005A60C9" w:rsidP="005A60C9">
      <w:pPr>
        <w:pStyle w:val="Brezrazmikov"/>
        <w:ind w:left="720"/>
        <w:rPr>
          <w:rFonts w:ascii="DejaVu Sans Condensed" w:hAnsi="DejaVu Sans Condensed" w:cs="DejaVu Sans Condensed"/>
          <w:bCs/>
          <w:sz w:val="24"/>
          <w:szCs w:val="24"/>
          <w:lang w:val="en-GB"/>
        </w:rPr>
      </w:pPr>
    </w:p>
    <w:p w14:paraId="00723840" w14:textId="712311BD" w:rsidR="00702BF5" w:rsidRDefault="002F0E0C" w:rsidP="00623F6B">
      <w:pPr>
        <w:pStyle w:val="Brezrazmikov"/>
        <w:numPr>
          <w:ilvl w:val="0"/>
          <w:numId w:val="8"/>
        </w:numPr>
        <w:rPr>
          <w:rFonts w:ascii="DejaVu Sans Condensed" w:hAnsi="DejaVu Sans Condensed" w:cs="DejaVu Sans Condensed"/>
          <w:bCs/>
          <w:sz w:val="24"/>
          <w:szCs w:val="24"/>
          <w:lang w:val="en-GB"/>
        </w:rPr>
      </w:pPr>
      <w:r w:rsidRPr="002F0E0C">
        <w:rPr>
          <w:rFonts w:ascii="DejaVu Sans Condensed" w:hAnsi="DejaVu Sans Condensed" w:cs="DejaVu Sans Condensed"/>
          <w:bCs/>
          <w:sz w:val="24"/>
          <w:szCs w:val="24"/>
          <w:lang w:val="en-GB"/>
        </w:rPr>
        <w:t>List of cases of the ECtHR - Articles 6</w:t>
      </w:r>
      <w:r>
        <w:rPr>
          <w:rFonts w:ascii="DejaVu Sans Condensed" w:hAnsi="DejaVu Sans Condensed" w:cs="DejaVu Sans Condensed"/>
          <w:bCs/>
          <w:sz w:val="24"/>
          <w:szCs w:val="24"/>
          <w:lang w:val="en-GB"/>
        </w:rPr>
        <w:t xml:space="preserve"> and </w:t>
      </w:r>
      <w:r w:rsidRPr="002F0E0C">
        <w:rPr>
          <w:rFonts w:ascii="DejaVu Sans Condensed" w:hAnsi="DejaVu Sans Condensed" w:cs="DejaVu Sans Condensed"/>
          <w:bCs/>
          <w:sz w:val="24"/>
          <w:szCs w:val="24"/>
          <w:lang w:val="en-GB"/>
        </w:rPr>
        <w:t>11</w:t>
      </w:r>
      <w:r>
        <w:rPr>
          <w:rFonts w:ascii="DejaVu Sans Condensed" w:hAnsi="DejaVu Sans Condensed" w:cs="DejaVu Sans Condensed"/>
          <w:bCs/>
          <w:sz w:val="24"/>
          <w:szCs w:val="24"/>
          <w:lang w:val="en-GB"/>
        </w:rPr>
        <w:t xml:space="preserve"> ECHR</w:t>
      </w:r>
      <w:r w:rsidRPr="002F0E0C">
        <w:rPr>
          <w:rFonts w:ascii="DejaVu Sans Condensed" w:hAnsi="DejaVu Sans Condensed" w:cs="DejaVu Sans Condensed"/>
          <w:bCs/>
          <w:sz w:val="24"/>
          <w:szCs w:val="24"/>
          <w:lang w:val="en-GB"/>
        </w:rPr>
        <w:t xml:space="preserve"> and F</w:t>
      </w:r>
      <w:r>
        <w:rPr>
          <w:rFonts w:ascii="DejaVu Sans Condensed" w:hAnsi="DejaVu Sans Condensed" w:cs="DejaVu Sans Condensed"/>
          <w:bCs/>
          <w:sz w:val="24"/>
          <w:szCs w:val="24"/>
          <w:lang w:val="en-GB"/>
        </w:rPr>
        <w:t>reedom of Expression of</w:t>
      </w:r>
      <w:r w:rsidRPr="002F0E0C">
        <w:rPr>
          <w:rFonts w:ascii="DejaVu Sans Condensed" w:hAnsi="DejaVu Sans Condensed" w:cs="DejaVu Sans Condensed"/>
          <w:bCs/>
          <w:sz w:val="24"/>
          <w:szCs w:val="24"/>
          <w:lang w:val="en-GB"/>
        </w:rPr>
        <w:t xml:space="preserve"> prosecutors</w:t>
      </w:r>
      <w:r>
        <w:rPr>
          <w:rFonts w:ascii="DejaVu Sans Condensed" w:hAnsi="DejaVu Sans Condensed" w:cs="DejaVu Sans Condensed"/>
          <w:bCs/>
          <w:sz w:val="24"/>
          <w:szCs w:val="24"/>
          <w:lang w:val="en-GB"/>
        </w:rPr>
        <w:t xml:space="preserve"> under Article 10 ECHR</w:t>
      </w:r>
    </w:p>
    <w:p w14:paraId="588EBB9E" w14:textId="77777777" w:rsidR="00465FE1" w:rsidRPr="00623F6B" w:rsidRDefault="00465FE1" w:rsidP="00465FE1">
      <w:pPr>
        <w:pStyle w:val="Brezrazmikov"/>
        <w:rPr>
          <w:rFonts w:ascii="DejaVu Sans Condensed" w:hAnsi="DejaVu Sans Condensed" w:cs="DejaVu Sans Condensed"/>
          <w:bCs/>
          <w:sz w:val="24"/>
          <w:szCs w:val="24"/>
          <w:lang w:val="en-GB"/>
        </w:rPr>
      </w:pPr>
    </w:p>
    <w:p w14:paraId="127F4D0A" w14:textId="77777777" w:rsidR="00C449F3" w:rsidRPr="00623F6B" w:rsidRDefault="00C449F3" w:rsidP="00C449F3">
      <w:pPr>
        <w:pStyle w:val="Brezrazmikov"/>
        <w:rPr>
          <w:rFonts w:ascii="DejaVu Sans Condensed" w:hAnsi="DejaVu Sans Condensed" w:cs="DejaVu Sans Condensed"/>
          <w:bCs/>
          <w:sz w:val="24"/>
          <w:szCs w:val="24"/>
          <w:lang w:val="en-GB"/>
        </w:rPr>
      </w:pPr>
    </w:p>
    <w:p w14:paraId="38BB2896" w14:textId="77777777" w:rsidR="00C449F3" w:rsidRPr="00623F6B" w:rsidRDefault="00C449F3" w:rsidP="00C449F3">
      <w:pPr>
        <w:pStyle w:val="Brezrazmikov"/>
        <w:rPr>
          <w:rFonts w:ascii="DejaVu Sans Condensed" w:hAnsi="DejaVu Sans Condensed" w:cs="DejaVu Sans Condensed"/>
          <w:bCs/>
          <w:sz w:val="24"/>
          <w:szCs w:val="24"/>
          <w:lang w:val="en-GB"/>
        </w:rPr>
      </w:pPr>
    </w:p>
    <w:p w14:paraId="7F10E5EB" w14:textId="77777777" w:rsidR="00C449F3" w:rsidRPr="00623F6B" w:rsidRDefault="00C449F3" w:rsidP="00C449F3">
      <w:pPr>
        <w:pStyle w:val="Brezrazmikov"/>
        <w:rPr>
          <w:rFonts w:ascii="DejaVu Sans Condensed" w:hAnsi="DejaVu Sans Condensed" w:cs="DejaVu Sans Condensed"/>
          <w:sz w:val="20"/>
          <w:szCs w:val="20"/>
          <w:lang w:val="en-GB"/>
        </w:rPr>
      </w:pPr>
    </w:p>
    <w:p w14:paraId="465169FF" w14:textId="77777777" w:rsidR="00C449F3" w:rsidRPr="00623F6B" w:rsidRDefault="00C449F3" w:rsidP="00C449F3">
      <w:pPr>
        <w:pStyle w:val="Brezrazmikov"/>
        <w:rPr>
          <w:rFonts w:ascii="DejaVu Sans Condensed" w:hAnsi="DejaVu Sans Condensed" w:cs="DejaVu Sans Condensed"/>
          <w:b/>
          <w:bCs/>
          <w:sz w:val="24"/>
          <w:szCs w:val="24"/>
          <w:lang w:val="en-GB"/>
        </w:rPr>
      </w:pPr>
      <w:r w:rsidRPr="00623F6B">
        <w:rPr>
          <w:rFonts w:ascii="DejaVu Sans Condensed" w:hAnsi="DejaVu Sans Condensed" w:cs="DejaVu Sans Condensed"/>
          <w:b/>
          <w:bCs/>
          <w:sz w:val="24"/>
          <w:szCs w:val="24"/>
          <w:lang w:val="en-GB"/>
        </w:rPr>
        <w:lastRenderedPageBreak/>
        <w:t>Other useful materials and further readings:</w:t>
      </w:r>
    </w:p>
    <w:p w14:paraId="3C5C3EC4" w14:textId="77777777" w:rsidR="00C449F3" w:rsidRPr="00623F6B" w:rsidRDefault="00C449F3" w:rsidP="00C449F3">
      <w:pPr>
        <w:pStyle w:val="Brezrazmikov"/>
        <w:rPr>
          <w:rFonts w:ascii="DejaVu Sans Condensed" w:hAnsi="DejaVu Sans Condensed" w:cs="DejaVu Sans Condensed"/>
          <w:sz w:val="24"/>
          <w:szCs w:val="24"/>
          <w:lang w:val="en-GB"/>
        </w:rPr>
      </w:pPr>
    </w:p>
    <w:p w14:paraId="218DA538" w14:textId="57F8CB6C" w:rsidR="00757A01" w:rsidRPr="00623F6B" w:rsidRDefault="00C449F3" w:rsidP="006B695C">
      <w:pPr>
        <w:rPr>
          <w:rFonts w:ascii="DejaVu Sans Condensed" w:hAnsi="DejaVu Sans Condensed" w:cs="DejaVu Sans Condensed"/>
          <w:sz w:val="24"/>
          <w:szCs w:val="24"/>
          <w:lang w:val="en-GB"/>
        </w:rPr>
      </w:pPr>
      <w:r w:rsidRPr="00623F6B">
        <w:rPr>
          <w:rFonts w:ascii="DejaVu Sans Condensed" w:hAnsi="DejaVu Sans Condensed" w:cs="DejaVu Sans Condensed"/>
          <w:sz w:val="24"/>
          <w:szCs w:val="24"/>
          <w:lang w:val="en-GB"/>
        </w:rPr>
        <w:t xml:space="preserve">HELP Course: Ethics for Judges, Prosecutors and Lawyers - </w:t>
      </w:r>
      <w:hyperlink r:id="rId18" w:history="1">
        <w:r w:rsidRPr="00623F6B">
          <w:rPr>
            <w:rStyle w:val="Hiperpovezava"/>
            <w:rFonts w:ascii="DejaVu Sans Condensed" w:hAnsi="DejaVu Sans Condensed" w:cs="DejaVu Sans Condensed"/>
            <w:sz w:val="24"/>
            <w:szCs w:val="24"/>
            <w:lang w:val="en-GB"/>
          </w:rPr>
          <w:t>https://www.coe.int/en/web/help/-/council-of-europe-new-help-online-course-on-ethics-for-judges-prosecutors-and-lawyers</w:t>
        </w:r>
      </w:hyperlink>
      <w:r w:rsidRPr="00623F6B">
        <w:rPr>
          <w:rFonts w:ascii="DejaVu Sans Condensed" w:hAnsi="DejaVu Sans Condensed" w:cs="DejaVu Sans Condensed"/>
          <w:sz w:val="24"/>
          <w:szCs w:val="24"/>
          <w:lang w:val="en-GB"/>
        </w:rPr>
        <w:t xml:space="preserve"> </w:t>
      </w:r>
    </w:p>
    <w:sectPr w:rsidR="00757A01" w:rsidRPr="00623F6B" w:rsidSect="00D16143">
      <w:pgSz w:w="11906" w:h="16838"/>
      <w:pgMar w:top="1134" w:right="1418" w:bottom="1134" w:left="1418" w:header="709" w:footer="709" w:gutter="0"/>
      <w:pgBorders w:offsetFrom="page">
        <w:top w:val="single" w:sz="18" w:space="12" w:color="C00000"/>
        <w:left w:val="single" w:sz="18" w:space="12" w:color="C00000"/>
        <w:bottom w:val="single" w:sz="18" w:space="12" w:color="C00000"/>
        <w:right w:val="single" w:sz="18" w:space="12"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385B" w14:textId="77777777" w:rsidR="00D16143" w:rsidRDefault="00D16143" w:rsidP="001A0036">
      <w:pPr>
        <w:spacing w:after="0" w:line="240" w:lineRule="auto"/>
      </w:pPr>
      <w:r>
        <w:separator/>
      </w:r>
    </w:p>
  </w:endnote>
  <w:endnote w:type="continuationSeparator" w:id="0">
    <w:p w14:paraId="47A09F30" w14:textId="77777777" w:rsidR="00D16143" w:rsidRDefault="00D16143" w:rsidP="001A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DejaVu Sans Condensed">
    <w:panose1 w:val="020B0606030804020204"/>
    <w:charset w:val="EE"/>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E273" w14:textId="77777777" w:rsidR="00D16143" w:rsidRDefault="00D16143" w:rsidP="001A0036">
      <w:pPr>
        <w:spacing w:after="0" w:line="240" w:lineRule="auto"/>
      </w:pPr>
      <w:r>
        <w:separator/>
      </w:r>
    </w:p>
  </w:footnote>
  <w:footnote w:type="continuationSeparator" w:id="0">
    <w:p w14:paraId="6925D025" w14:textId="77777777" w:rsidR="00D16143" w:rsidRDefault="00D16143" w:rsidP="001A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18E6"/>
    <w:multiLevelType w:val="hybridMultilevel"/>
    <w:tmpl w:val="EB060AA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2024D7C"/>
    <w:multiLevelType w:val="hybridMultilevel"/>
    <w:tmpl w:val="71A689E6"/>
    <w:lvl w:ilvl="0" w:tplc="E86C3DA4">
      <w:start w:val="1"/>
      <w:numFmt w:val="bullet"/>
      <w:lvlText w:val=""/>
      <w:lvlJc w:val="left"/>
      <w:pPr>
        <w:ind w:left="360" w:hanging="360"/>
      </w:pPr>
      <w:rPr>
        <w:rFonts w:ascii="Symbol" w:hAnsi="Symbol" w:hint="default"/>
        <w:color w:val="2F5496" w:themeColor="accent5" w:themeShade="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C46333F"/>
    <w:multiLevelType w:val="hybridMultilevel"/>
    <w:tmpl w:val="744613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5126EF"/>
    <w:multiLevelType w:val="multilevel"/>
    <w:tmpl w:val="92E2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680101"/>
    <w:multiLevelType w:val="multilevel"/>
    <w:tmpl w:val="73D2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6E40DF"/>
    <w:multiLevelType w:val="multilevel"/>
    <w:tmpl w:val="CEB8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C2256A"/>
    <w:multiLevelType w:val="hybridMultilevel"/>
    <w:tmpl w:val="FD040AA4"/>
    <w:lvl w:ilvl="0" w:tplc="A3A6C5F0">
      <w:start w:val="1"/>
      <w:numFmt w:val="bullet"/>
      <w:lvlText w:val=""/>
      <w:lvlJc w:val="left"/>
      <w:pPr>
        <w:ind w:left="360" w:hanging="360"/>
      </w:pPr>
      <w:rPr>
        <w:rFonts w:ascii="Symbol" w:hAnsi="Symbol" w:hint="default"/>
        <w:color w:val="2F5496" w:themeColor="accent5" w:themeShade="BF"/>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B042A2F"/>
    <w:multiLevelType w:val="multilevel"/>
    <w:tmpl w:val="F31E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325076">
    <w:abstractNumId w:val="5"/>
  </w:num>
  <w:num w:numId="2" w16cid:durableId="1005202739">
    <w:abstractNumId w:val="4"/>
  </w:num>
  <w:num w:numId="3" w16cid:durableId="618299348">
    <w:abstractNumId w:val="7"/>
  </w:num>
  <w:num w:numId="4" w16cid:durableId="533690704">
    <w:abstractNumId w:val="6"/>
  </w:num>
  <w:num w:numId="5" w16cid:durableId="2055041816">
    <w:abstractNumId w:val="1"/>
  </w:num>
  <w:num w:numId="6" w16cid:durableId="1894845881">
    <w:abstractNumId w:val="3"/>
  </w:num>
  <w:num w:numId="7" w16cid:durableId="679428689">
    <w:abstractNumId w:val="0"/>
  </w:num>
  <w:num w:numId="8" w16cid:durableId="370494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89"/>
    <w:rsid w:val="000046EC"/>
    <w:rsid w:val="000057B4"/>
    <w:rsid w:val="000165A8"/>
    <w:rsid w:val="00036B95"/>
    <w:rsid w:val="00037F28"/>
    <w:rsid w:val="0005604C"/>
    <w:rsid w:val="000E7A0F"/>
    <w:rsid w:val="000E7A6D"/>
    <w:rsid w:val="00157EBB"/>
    <w:rsid w:val="0016405C"/>
    <w:rsid w:val="0017088B"/>
    <w:rsid w:val="00171D97"/>
    <w:rsid w:val="0018697D"/>
    <w:rsid w:val="001A0036"/>
    <w:rsid w:val="001A1367"/>
    <w:rsid w:val="001A17A3"/>
    <w:rsid w:val="001A56A8"/>
    <w:rsid w:val="001B025A"/>
    <w:rsid w:val="001B578B"/>
    <w:rsid w:val="001C187D"/>
    <w:rsid w:val="001E28B9"/>
    <w:rsid w:val="00206E29"/>
    <w:rsid w:val="0021078B"/>
    <w:rsid w:val="00213BF5"/>
    <w:rsid w:val="0021487F"/>
    <w:rsid w:val="002174A0"/>
    <w:rsid w:val="00240CE5"/>
    <w:rsid w:val="002615CB"/>
    <w:rsid w:val="00265CCD"/>
    <w:rsid w:val="00296D0D"/>
    <w:rsid w:val="002C16AB"/>
    <w:rsid w:val="002C2779"/>
    <w:rsid w:val="002D23E6"/>
    <w:rsid w:val="002F0E0C"/>
    <w:rsid w:val="002F69F8"/>
    <w:rsid w:val="00347EB7"/>
    <w:rsid w:val="003571CA"/>
    <w:rsid w:val="00375588"/>
    <w:rsid w:val="0038697A"/>
    <w:rsid w:val="003A6324"/>
    <w:rsid w:val="003B5162"/>
    <w:rsid w:val="003D3D30"/>
    <w:rsid w:val="003E2DAF"/>
    <w:rsid w:val="004027B9"/>
    <w:rsid w:val="00411E67"/>
    <w:rsid w:val="00416449"/>
    <w:rsid w:val="004235FA"/>
    <w:rsid w:val="00426633"/>
    <w:rsid w:val="004353C1"/>
    <w:rsid w:val="004434AC"/>
    <w:rsid w:val="00446E6E"/>
    <w:rsid w:val="0045469E"/>
    <w:rsid w:val="00465FE1"/>
    <w:rsid w:val="00475C5C"/>
    <w:rsid w:val="004967D8"/>
    <w:rsid w:val="00497BBC"/>
    <w:rsid w:val="004B5720"/>
    <w:rsid w:val="004C3E94"/>
    <w:rsid w:val="004E2EF2"/>
    <w:rsid w:val="00502C2A"/>
    <w:rsid w:val="0052647E"/>
    <w:rsid w:val="00562750"/>
    <w:rsid w:val="0057352B"/>
    <w:rsid w:val="005A60C9"/>
    <w:rsid w:val="005B53CD"/>
    <w:rsid w:val="005F2F18"/>
    <w:rsid w:val="005F52E8"/>
    <w:rsid w:val="005F7677"/>
    <w:rsid w:val="00603151"/>
    <w:rsid w:val="00613B5A"/>
    <w:rsid w:val="00623F6B"/>
    <w:rsid w:val="00637B53"/>
    <w:rsid w:val="00656DC0"/>
    <w:rsid w:val="006743E6"/>
    <w:rsid w:val="00685CFB"/>
    <w:rsid w:val="00695DD8"/>
    <w:rsid w:val="006B18E1"/>
    <w:rsid w:val="006B695C"/>
    <w:rsid w:val="006C65D7"/>
    <w:rsid w:val="00700061"/>
    <w:rsid w:val="00702BF5"/>
    <w:rsid w:val="00705FDB"/>
    <w:rsid w:val="00717922"/>
    <w:rsid w:val="00730946"/>
    <w:rsid w:val="00744600"/>
    <w:rsid w:val="00757A01"/>
    <w:rsid w:val="00785FB7"/>
    <w:rsid w:val="007A32DE"/>
    <w:rsid w:val="007B1E44"/>
    <w:rsid w:val="007B2164"/>
    <w:rsid w:val="007E24A7"/>
    <w:rsid w:val="007F7C8F"/>
    <w:rsid w:val="008020E3"/>
    <w:rsid w:val="00833956"/>
    <w:rsid w:val="00842D14"/>
    <w:rsid w:val="008726B6"/>
    <w:rsid w:val="0087318A"/>
    <w:rsid w:val="00887E47"/>
    <w:rsid w:val="0089485F"/>
    <w:rsid w:val="008B7173"/>
    <w:rsid w:val="008C0D53"/>
    <w:rsid w:val="008C43F5"/>
    <w:rsid w:val="008D4823"/>
    <w:rsid w:val="008E74B8"/>
    <w:rsid w:val="00915DE8"/>
    <w:rsid w:val="009163CD"/>
    <w:rsid w:val="00936E30"/>
    <w:rsid w:val="00955B54"/>
    <w:rsid w:val="00967881"/>
    <w:rsid w:val="00970496"/>
    <w:rsid w:val="0097092D"/>
    <w:rsid w:val="00972819"/>
    <w:rsid w:val="0098057B"/>
    <w:rsid w:val="009B41BB"/>
    <w:rsid w:val="009E2D86"/>
    <w:rsid w:val="00A276B7"/>
    <w:rsid w:val="00A41D70"/>
    <w:rsid w:val="00A84537"/>
    <w:rsid w:val="00A941D0"/>
    <w:rsid w:val="00AA0939"/>
    <w:rsid w:val="00AC6565"/>
    <w:rsid w:val="00AD2575"/>
    <w:rsid w:val="00AD3A2B"/>
    <w:rsid w:val="00AE5F57"/>
    <w:rsid w:val="00B10783"/>
    <w:rsid w:val="00B26F96"/>
    <w:rsid w:val="00B30C97"/>
    <w:rsid w:val="00B53404"/>
    <w:rsid w:val="00B75F38"/>
    <w:rsid w:val="00B86100"/>
    <w:rsid w:val="00B97B89"/>
    <w:rsid w:val="00BE2E8C"/>
    <w:rsid w:val="00BF1781"/>
    <w:rsid w:val="00C24A6F"/>
    <w:rsid w:val="00C449F3"/>
    <w:rsid w:val="00C46B22"/>
    <w:rsid w:val="00CE600B"/>
    <w:rsid w:val="00CF5289"/>
    <w:rsid w:val="00D16143"/>
    <w:rsid w:val="00D17E08"/>
    <w:rsid w:val="00D25D1D"/>
    <w:rsid w:val="00D3729A"/>
    <w:rsid w:val="00D4438C"/>
    <w:rsid w:val="00D4578F"/>
    <w:rsid w:val="00D50BB0"/>
    <w:rsid w:val="00D81AA4"/>
    <w:rsid w:val="00D84634"/>
    <w:rsid w:val="00D846A8"/>
    <w:rsid w:val="00DD157A"/>
    <w:rsid w:val="00DF090E"/>
    <w:rsid w:val="00E04C0C"/>
    <w:rsid w:val="00E104CC"/>
    <w:rsid w:val="00E10504"/>
    <w:rsid w:val="00E12165"/>
    <w:rsid w:val="00E2330B"/>
    <w:rsid w:val="00E44838"/>
    <w:rsid w:val="00EA5287"/>
    <w:rsid w:val="00EE45BB"/>
    <w:rsid w:val="00EE51D0"/>
    <w:rsid w:val="00F00E6B"/>
    <w:rsid w:val="00F01245"/>
    <w:rsid w:val="00F37FD8"/>
    <w:rsid w:val="00F52589"/>
    <w:rsid w:val="00F672DE"/>
    <w:rsid w:val="00F73831"/>
    <w:rsid w:val="00FA3D16"/>
    <w:rsid w:val="00FB218E"/>
    <w:rsid w:val="00FD0D06"/>
    <w:rsid w:val="00FD38B7"/>
    <w:rsid w:val="00FF27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C724"/>
  <w15:chartTrackingRefBased/>
  <w15:docId w15:val="{8547BFC0-1B42-4E54-8A5B-74FCE6A8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B21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avaden"/>
    <w:link w:val="Naslov3Znak"/>
    <w:uiPriority w:val="9"/>
    <w:qFormat/>
    <w:rsid w:val="007B2164"/>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7B2164"/>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7B216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7B2164"/>
    <w:rPr>
      <w:i/>
      <w:iCs/>
    </w:rPr>
  </w:style>
  <w:style w:type="character" w:styleId="Krepko">
    <w:name w:val="Strong"/>
    <w:basedOn w:val="Privzetapisavaodstavka"/>
    <w:uiPriority w:val="22"/>
    <w:qFormat/>
    <w:rsid w:val="007B2164"/>
    <w:rPr>
      <w:b/>
      <w:bCs/>
    </w:rPr>
  </w:style>
  <w:style w:type="character" w:styleId="Hiperpovezava">
    <w:name w:val="Hyperlink"/>
    <w:basedOn w:val="Privzetapisavaodstavka"/>
    <w:uiPriority w:val="99"/>
    <w:unhideWhenUsed/>
    <w:rsid w:val="007B2164"/>
    <w:rPr>
      <w:color w:val="0000FF"/>
      <w:u w:val="single"/>
    </w:rPr>
  </w:style>
  <w:style w:type="character" w:customStyle="1" w:styleId="Naslov1Znak">
    <w:name w:val="Naslov 1 Znak"/>
    <w:basedOn w:val="Privzetapisavaodstavka"/>
    <w:link w:val="Naslov1"/>
    <w:uiPriority w:val="9"/>
    <w:rsid w:val="007B2164"/>
    <w:rPr>
      <w:rFonts w:asciiTheme="majorHAnsi" w:eastAsiaTheme="majorEastAsia" w:hAnsiTheme="majorHAnsi" w:cstheme="majorBidi"/>
      <w:color w:val="2E74B5" w:themeColor="accent1" w:themeShade="BF"/>
      <w:sz w:val="32"/>
      <w:szCs w:val="32"/>
    </w:rPr>
  </w:style>
  <w:style w:type="paragraph" w:styleId="Odstavekseznama">
    <w:name w:val="List Paragraph"/>
    <w:basedOn w:val="Navaden"/>
    <w:uiPriority w:val="34"/>
    <w:qFormat/>
    <w:rsid w:val="007B2164"/>
    <w:pPr>
      <w:ind w:left="720"/>
      <w:contextualSpacing/>
    </w:pPr>
  </w:style>
  <w:style w:type="paragraph" w:styleId="Sprotnaopomba-besedilo">
    <w:name w:val="footnote text"/>
    <w:aliases w:val="Tekst przypisu dolnego Znak Znak Znak Znak,Tekst przypisu dolnego Znak Znak Znak Znak Znak Znak Znak,Tekst przypisu dolnego Znak Znak Znak Znak Znak Znak Znak Znak Znak Znak Znak Znak Znak Znak Znak Znak Znak,Znak"/>
    <w:basedOn w:val="Navaden"/>
    <w:link w:val="Sprotnaopomba-besediloZnak"/>
    <w:uiPriority w:val="99"/>
    <w:unhideWhenUsed/>
    <w:rsid w:val="001A0036"/>
    <w:pPr>
      <w:spacing w:after="0" w:line="240" w:lineRule="auto"/>
      <w:jc w:val="both"/>
    </w:pPr>
    <w:rPr>
      <w:sz w:val="20"/>
      <w:szCs w:val="20"/>
    </w:rPr>
  </w:style>
  <w:style w:type="character" w:customStyle="1" w:styleId="Sprotnaopomba-besediloZnak">
    <w:name w:val="Sprotna opomba - besedilo Znak"/>
    <w:aliases w:val="Tekst przypisu dolnego Znak Znak Znak Znak Znak,Tekst przypisu dolnego Znak Znak Znak Znak Znak Znak Znak Znak,Znak Znak"/>
    <w:basedOn w:val="Privzetapisavaodstavka"/>
    <w:link w:val="Sprotnaopomba-besedilo"/>
    <w:uiPriority w:val="99"/>
    <w:rsid w:val="001A0036"/>
    <w:rPr>
      <w:sz w:val="20"/>
      <w:szCs w:val="20"/>
    </w:rPr>
  </w:style>
  <w:style w:type="character" w:styleId="Sprotnaopomba-sklic">
    <w:name w:val="footnote reference"/>
    <w:aliases w:val="footnote ref,FR,Fußnotenzeichen diss neu,Times 10 Point,Exposant 3 Point,Footnote symbol,BVI fnr,RSC_WP (footnote reference),Footnote Reference4,Odwołanie przypisu dolnego1,Footnote Reference Superscript,Footnote Reference/"/>
    <w:basedOn w:val="Privzetapisavaodstavka"/>
    <w:link w:val="FootnotesymbolCarZchn"/>
    <w:uiPriority w:val="99"/>
    <w:unhideWhenUsed/>
    <w:qFormat/>
    <w:rsid w:val="001A0036"/>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1A0036"/>
    <w:pPr>
      <w:spacing w:line="240" w:lineRule="exact"/>
      <w:jc w:val="both"/>
    </w:pPr>
    <w:rPr>
      <w:vertAlign w:val="superscript"/>
    </w:rPr>
  </w:style>
  <w:style w:type="paragraph" w:styleId="Glava">
    <w:name w:val="header"/>
    <w:basedOn w:val="Navaden"/>
    <w:link w:val="GlavaZnak"/>
    <w:uiPriority w:val="99"/>
    <w:unhideWhenUsed/>
    <w:rsid w:val="00757A01"/>
    <w:pPr>
      <w:tabs>
        <w:tab w:val="center" w:pos="4536"/>
        <w:tab w:val="right" w:pos="9072"/>
      </w:tabs>
      <w:spacing w:after="0" w:line="240" w:lineRule="auto"/>
    </w:pPr>
  </w:style>
  <w:style w:type="character" w:customStyle="1" w:styleId="GlavaZnak">
    <w:name w:val="Glava Znak"/>
    <w:basedOn w:val="Privzetapisavaodstavka"/>
    <w:link w:val="Glava"/>
    <w:uiPriority w:val="99"/>
    <w:rsid w:val="00757A01"/>
  </w:style>
  <w:style w:type="character" w:styleId="Pripombasklic">
    <w:name w:val="annotation reference"/>
    <w:basedOn w:val="Privzetapisavaodstavka"/>
    <w:uiPriority w:val="99"/>
    <w:semiHidden/>
    <w:unhideWhenUsed/>
    <w:rsid w:val="00036B95"/>
    <w:rPr>
      <w:sz w:val="16"/>
      <w:szCs w:val="16"/>
    </w:rPr>
  </w:style>
  <w:style w:type="paragraph" w:styleId="Pripombabesedilo">
    <w:name w:val="annotation text"/>
    <w:basedOn w:val="Navaden"/>
    <w:link w:val="PripombabesediloZnak"/>
    <w:uiPriority w:val="99"/>
    <w:unhideWhenUsed/>
    <w:rsid w:val="00036B95"/>
    <w:pPr>
      <w:spacing w:line="240" w:lineRule="auto"/>
    </w:pPr>
    <w:rPr>
      <w:sz w:val="20"/>
      <w:szCs w:val="20"/>
    </w:rPr>
  </w:style>
  <w:style w:type="character" w:customStyle="1" w:styleId="PripombabesediloZnak">
    <w:name w:val="Pripomba – besedilo Znak"/>
    <w:basedOn w:val="Privzetapisavaodstavka"/>
    <w:link w:val="Pripombabesedilo"/>
    <w:uiPriority w:val="99"/>
    <w:rsid w:val="00036B95"/>
    <w:rPr>
      <w:sz w:val="20"/>
      <w:szCs w:val="20"/>
    </w:rPr>
  </w:style>
  <w:style w:type="paragraph" w:styleId="Zadevapripombe">
    <w:name w:val="annotation subject"/>
    <w:basedOn w:val="Pripombabesedilo"/>
    <w:next w:val="Pripombabesedilo"/>
    <w:link w:val="ZadevapripombeZnak"/>
    <w:uiPriority w:val="99"/>
    <w:semiHidden/>
    <w:unhideWhenUsed/>
    <w:rsid w:val="00036B95"/>
    <w:rPr>
      <w:b/>
      <w:bCs/>
    </w:rPr>
  </w:style>
  <w:style w:type="character" w:customStyle="1" w:styleId="ZadevapripombeZnak">
    <w:name w:val="Zadeva pripombe Znak"/>
    <w:basedOn w:val="PripombabesediloZnak"/>
    <w:link w:val="Zadevapripombe"/>
    <w:uiPriority w:val="99"/>
    <w:semiHidden/>
    <w:rsid w:val="00036B95"/>
    <w:rPr>
      <w:b/>
      <w:bCs/>
      <w:sz w:val="20"/>
      <w:szCs w:val="20"/>
    </w:rPr>
  </w:style>
  <w:style w:type="paragraph" w:styleId="Besedilooblaka">
    <w:name w:val="Balloon Text"/>
    <w:basedOn w:val="Navaden"/>
    <w:link w:val="BesedilooblakaZnak"/>
    <w:uiPriority w:val="99"/>
    <w:semiHidden/>
    <w:unhideWhenUsed/>
    <w:rsid w:val="0097281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72819"/>
    <w:rPr>
      <w:rFonts w:ascii="Segoe UI" w:hAnsi="Segoe UI" w:cs="Segoe UI"/>
      <w:sz w:val="18"/>
      <w:szCs w:val="18"/>
    </w:rPr>
  </w:style>
  <w:style w:type="paragraph" w:customStyle="1" w:styleId="Default">
    <w:name w:val="Default"/>
    <w:rsid w:val="00972819"/>
    <w:pPr>
      <w:autoSpaceDE w:val="0"/>
      <w:autoSpaceDN w:val="0"/>
      <w:adjustRightInd w:val="0"/>
      <w:spacing w:after="0" w:line="240" w:lineRule="auto"/>
    </w:pPr>
    <w:rPr>
      <w:rFonts w:ascii="Open Sans" w:hAnsi="Open Sans" w:cs="Open Sans"/>
      <w:color w:val="000000"/>
      <w:sz w:val="24"/>
      <w:szCs w:val="24"/>
    </w:rPr>
  </w:style>
  <w:style w:type="character" w:customStyle="1" w:styleId="whyltd">
    <w:name w:val="whyltd"/>
    <w:basedOn w:val="Privzetapisavaodstavka"/>
    <w:rsid w:val="006C65D7"/>
  </w:style>
  <w:style w:type="paragraph" w:styleId="Brezrazmikov">
    <w:name w:val="No Spacing"/>
    <w:uiPriority w:val="1"/>
    <w:qFormat/>
    <w:rsid w:val="006C65D7"/>
    <w:pPr>
      <w:spacing w:after="0" w:line="240" w:lineRule="auto"/>
    </w:pPr>
  </w:style>
  <w:style w:type="paragraph" w:styleId="Naslov">
    <w:name w:val="Title"/>
    <w:basedOn w:val="Navaden"/>
    <w:next w:val="Navaden"/>
    <w:link w:val="NaslovZnak"/>
    <w:uiPriority w:val="10"/>
    <w:qFormat/>
    <w:rsid w:val="0045469E"/>
    <w:pPr>
      <w:spacing w:after="0" w:line="240" w:lineRule="auto"/>
      <w:contextualSpacing/>
    </w:pPr>
    <w:rPr>
      <w:rFonts w:asciiTheme="majorHAnsi" w:eastAsiaTheme="majorEastAsia" w:hAnsiTheme="majorHAnsi" w:cstheme="majorBidi"/>
      <w:spacing w:val="-10"/>
      <w:kern w:val="28"/>
      <w:sz w:val="56"/>
      <w:szCs w:val="56"/>
      <w:lang w:val="hu-HU"/>
    </w:rPr>
  </w:style>
  <w:style w:type="character" w:customStyle="1" w:styleId="NaslovZnak">
    <w:name w:val="Naslov Znak"/>
    <w:basedOn w:val="Privzetapisavaodstavka"/>
    <w:link w:val="Naslov"/>
    <w:uiPriority w:val="10"/>
    <w:rsid w:val="0045469E"/>
    <w:rPr>
      <w:rFonts w:asciiTheme="majorHAnsi" w:eastAsiaTheme="majorEastAsia" w:hAnsiTheme="majorHAnsi" w:cstheme="majorBidi"/>
      <w:spacing w:val="-10"/>
      <w:kern w:val="28"/>
      <w:sz w:val="56"/>
      <w:szCs w:val="56"/>
      <w:lang w:val="hu-HU"/>
    </w:rPr>
  </w:style>
  <w:style w:type="character" w:styleId="Nerazreenaomemba">
    <w:name w:val="Unresolved Mention"/>
    <w:basedOn w:val="Privzetapisavaodstavka"/>
    <w:uiPriority w:val="99"/>
    <w:semiHidden/>
    <w:unhideWhenUsed/>
    <w:rsid w:val="002C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3904">
      <w:bodyDiv w:val="1"/>
      <w:marLeft w:val="0"/>
      <w:marRight w:val="0"/>
      <w:marTop w:val="0"/>
      <w:marBottom w:val="0"/>
      <w:divBdr>
        <w:top w:val="none" w:sz="0" w:space="0" w:color="auto"/>
        <w:left w:val="none" w:sz="0" w:space="0" w:color="auto"/>
        <w:bottom w:val="none" w:sz="0" w:space="0" w:color="auto"/>
        <w:right w:val="none" w:sz="0" w:space="0" w:color="auto"/>
      </w:divBdr>
      <w:divsChild>
        <w:div w:id="1642156078">
          <w:marLeft w:val="0"/>
          <w:marRight w:val="0"/>
          <w:marTop w:val="0"/>
          <w:marBottom w:val="0"/>
          <w:divBdr>
            <w:top w:val="none" w:sz="0" w:space="0" w:color="auto"/>
            <w:left w:val="none" w:sz="0" w:space="0" w:color="auto"/>
            <w:bottom w:val="none" w:sz="0" w:space="0" w:color="auto"/>
            <w:right w:val="none" w:sz="0" w:space="0" w:color="auto"/>
          </w:divBdr>
        </w:div>
      </w:divsChild>
    </w:div>
    <w:div w:id="160439444">
      <w:bodyDiv w:val="1"/>
      <w:marLeft w:val="0"/>
      <w:marRight w:val="0"/>
      <w:marTop w:val="0"/>
      <w:marBottom w:val="0"/>
      <w:divBdr>
        <w:top w:val="none" w:sz="0" w:space="0" w:color="auto"/>
        <w:left w:val="none" w:sz="0" w:space="0" w:color="auto"/>
        <w:bottom w:val="none" w:sz="0" w:space="0" w:color="auto"/>
        <w:right w:val="none" w:sz="0" w:space="0" w:color="auto"/>
      </w:divBdr>
    </w:div>
    <w:div w:id="239681648">
      <w:bodyDiv w:val="1"/>
      <w:marLeft w:val="0"/>
      <w:marRight w:val="0"/>
      <w:marTop w:val="0"/>
      <w:marBottom w:val="0"/>
      <w:divBdr>
        <w:top w:val="none" w:sz="0" w:space="0" w:color="auto"/>
        <w:left w:val="none" w:sz="0" w:space="0" w:color="auto"/>
        <w:bottom w:val="none" w:sz="0" w:space="0" w:color="auto"/>
        <w:right w:val="none" w:sz="0" w:space="0" w:color="auto"/>
      </w:divBdr>
    </w:div>
    <w:div w:id="1152909956">
      <w:bodyDiv w:val="1"/>
      <w:marLeft w:val="0"/>
      <w:marRight w:val="0"/>
      <w:marTop w:val="0"/>
      <w:marBottom w:val="0"/>
      <w:divBdr>
        <w:top w:val="none" w:sz="0" w:space="0" w:color="auto"/>
        <w:left w:val="none" w:sz="0" w:space="0" w:color="auto"/>
        <w:bottom w:val="none" w:sz="0" w:space="0" w:color="auto"/>
        <w:right w:val="none" w:sz="0" w:space="0" w:color="auto"/>
      </w:divBdr>
    </w:div>
    <w:div w:id="1540051895">
      <w:bodyDiv w:val="1"/>
      <w:marLeft w:val="0"/>
      <w:marRight w:val="0"/>
      <w:marTop w:val="0"/>
      <w:marBottom w:val="0"/>
      <w:divBdr>
        <w:top w:val="none" w:sz="0" w:space="0" w:color="auto"/>
        <w:left w:val="none" w:sz="0" w:space="0" w:color="auto"/>
        <w:bottom w:val="none" w:sz="0" w:space="0" w:color="auto"/>
        <w:right w:val="none" w:sz="0" w:space="0" w:color="auto"/>
      </w:divBdr>
    </w:div>
    <w:div w:id="1817724945">
      <w:bodyDiv w:val="1"/>
      <w:marLeft w:val="0"/>
      <w:marRight w:val="0"/>
      <w:marTop w:val="0"/>
      <w:marBottom w:val="0"/>
      <w:divBdr>
        <w:top w:val="none" w:sz="0" w:space="0" w:color="auto"/>
        <w:left w:val="none" w:sz="0" w:space="0" w:color="auto"/>
        <w:bottom w:val="none" w:sz="0" w:space="0" w:color="auto"/>
        <w:right w:val="none" w:sz="0" w:space="0" w:color="auto"/>
      </w:divBdr>
    </w:div>
    <w:div w:id="20537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oe.int/en/web/help/-/council-of-europe-new-help-online-course-on-ethics-for-judges-prosecutors-and-lawy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chr.coe.int/documents/d/echr/fs_independence_justice_eng" TargetMode="External"/><Relationship Id="rId2" Type="http://schemas.openxmlformats.org/officeDocument/2006/relationships/customXml" Target="../customXml/item2.xml"/><Relationship Id="rId16" Type="http://schemas.openxmlformats.org/officeDocument/2006/relationships/hyperlink" Target="https://www.youtube.com/watch?v=KXd-RjI51pI&amp;t=841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youtube.com/watch?v=WxRFNTrc1z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rechtlawreview.org/articles/10.18352/ulr.37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E62345C7ED94AB7B6F08250F5EE92" ma:contentTypeVersion="17" ma:contentTypeDescription="Create a new document." ma:contentTypeScope="" ma:versionID="0158340931285d282f9feac93a4b87cc">
  <xsd:schema xmlns:xsd="http://www.w3.org/2001/XMLSchema" xmlns:xs="http://www.w3.org/2001/XMLSchema" xmlns:p="http://schemas.microsoft.com/office/2006/metadata/properties" xmlns:ns3="9646c36e-444e-499f-9ea7-5057afc206f7" xmlns:ns4="c45a03b0-2924-42ee-9dfd-81417987c304" targetNamespace="http://schemas.microsoft.com/office/2006/metadata/properties" ma:root="true" ma:fieldsID="9865ca09de02ea1045ecb7ba95b81914" ns3:_="" ns4:_="">
    <xsd:import namespace="9646c36e-444e-499f-9ea7-5057afc206f7"/>
    <xsd:import namespace="c45a03b0-2924-42ee-9dfd-81417987c3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6c36e-444e-499f-9ea7-5057afc20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a03b0-2924-42ee-9dfd-81417987c30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646c36e-444e-499f-9ea7-5057afc206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0443C5-8A4E-431E-8C30-C4F65945B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6c36e-444e-499f-9ea7-5057afc206f7"/>
    <ds:schemaRef ds:uri="c45a03b0-2924-42ee-9dfd-81417987c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D5E6D-960F-40B1-9B60-B81BF29BCF3E}">
  <ds:schemaRefs>
    <ds:schemaRef ds:uri="http://schemas.microsoft.com/office/2006/metadata/properties"/>
    <ds:schemaRef ds:uri="http://schemas.microsoft.com/office/infopath/2007/PartnerControls"/>
    <ds:schemaRef ds:uri="9646c36e-444e-499f-9ea7-5057afc206f7"/>
  </ds:schemaRefs>
</ds:datastoreItem>
</file>

<file path=customXml/itemProps3.xml><?xml version="1.0" encoding="utf-8"?>
<ds:datastoreItem xmlns:ds="http://schemas.openxmlformats.org/officeDocument/2006/customXml" ds:itemID="{955ADFF9-FA8A-46A5-B37F-9DC45DC9A258}">
  <ds:schemaRefs>
    <ds:schemaRef ds:uri="http://schemas.microsoft.com/sharepoint/v3/contenttype/forms"/>
  </ds:schemaRefs>
</ds:datastoreItem>
</file>

<file path=customXml/itemProps4.xml><?xml version="1.0" encoding="utf-8"?>
<ds:datastoreItem xmlns:ds="http://schemas.openxmlformats.org/officeDocument/2006/customXml" ds:itemID="{AC5BA4E7-FAE2-4355-9681-BF663146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813</Words>
  <Characters>4638</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Fajdiga, Mohor</dc:creator>
  <cp:keywords/>
  <dc:description/>
  <cp:lastModifiedBy>Fajdiga, Mohor</cp:lastModifiedBy>
  <cp:revision>9</cp:revision>
  <cp:lastPrinted>2023-12-21T10:03:00Z</cp:lastPrinted>
  <dcterms:created xsi:type="dcterms:W3CDTF">2024-02-29T10:09:00Z</dcterms:created>
  <dcterms:modified xsi:type="dcterms:W3CDTF">2024-03-07T10:40:00Z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0x01010073BE62345C7ED94AB7B6F08250F5EE92</vt:lpwstr>
  </property>
</Properties>
</file>