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23C71" w14:textId="730A7961" w:rsidR="008A183A" w:rsidRPr="002E2F01" w:rsidRDefault="00761673" w:rsidP="006D622B">
      <w:pPr>
        <w:jc w:val="center"/>
        <w:rPr>
          <w:rFonts w:cstheme="minorHAnsi"/>
          <w:b/>
          <w:sz w:val="24"/>
          <w:szCs w:val="24"/>
          <w:lang w:val="en-GB"/>
        </w:rPr>
      </w:pPr>
      <w:r w:rsidRPr="002E2F01">
        <w:rPr>
          <w:rFonts w:cstheme="minorHAnsi"/>
          <w:b/>
          <w:sz w:val="24"/>
          <w:szCs w:val="24"/>
          <w:lang w:val="en-GB"/>
        </w:rPr>
        <w:t>Hypothetical case no. 1 -</w:t>
      </w:r>
      <w:r w:rsidR="009B49CD" w:rsidRPr="002E2F01">
        <w:rPr>
          <w:rFonts w:cstheme="minorHAnsi"/>
          <w:b/>
          <w:sz w:val="24"/>
          <w:szCs w:val="24"/>
          <w:lang w:val="en-GB"/>
        </w:rPr>
        <w:t xml:space="preserve"> Freedom of Expression and the Whistleblower Directive</w:t>
      </w:r>
    </w:p>
    <w:p w14:paraId="2B65A0B4" w14:textId="699FBD41" w:rsidR="00FC708A" w:rsidRPr="00833419" w:rsidRDefault="00A91FB6" w:rsidP="00A91FB6">
      <w:pPr>
        <w:jc w:val="both"/>
        <w:rPr>
          <w:rFonts w:cstheme="minorHAnsi"/>
          <w:lang w:val="en-GB"/>
        </w:rPr>
      </w:pPr>
      <w:r w:rsidRPr="00833419">
        <w:rPr>
          <w:rFonts w:cstheme="minorHAnsi"/>
          <w:lang w:val="en-GB"/>
        </w:rPr>
        <w:t xml:space="preserve">Ana is a trainee judge from </w:t>
      </w:r>
      <w:proofErr w:type="spellStart"/>
      <w:r w:rsidRPr="00833419">
        <w:rPr>
          <w:rFonts w:cstheme="minorHAnsi"/>
          <w:lang w:val="en-GB"/>
        </w:rPr>
        <w:t>Yuland</w:t>
      </w:r>
      <w:proofErr w:type="spellEnd"/>
      <w:r w:rsidRPr="00833419">
        <w:rPr>
          <w:rFonts w:cstheme="minorHAnsi"/>
          <w:lang w:val="en-GB"/>
        </w:rPr>
        <w:t>, a</w:t>
      </w:r>
      <w:r w:rsidR="00106C37" w:rsidRPr="00833419">
        <w:rPr>
          <w:rFonts w:cstheme="minorHAnsi"/>
          <w:lang w:val="en-GB"/>
        </w:rPr>
        <w:t xml:space="preserve"> small</w:t>
      </w:r>
      <w:r w:rsidRPr="00833419">
        <w:rPr>
          <w:rFonts w:cstheme="minorHAnsi"/>
          <w:lang w:val="en-GB"/>
        </w:rPr>
        <w:t xml:space="preserve"> country from Central and Eastern Europe, member of the </w:t>
      </w:r>
      <w:r w:rsidR="00C21BC6" w:rsidRPr="00833419">
        <w:rPr>
          <w:rFonts w:cstheme="minorHAnsi"/>
          <w:lang w:val="en-GB"/>
        </w:rPr>
        <w:t>EU since 2004. From September 2023</w:t>
      </w:r>
      <w:r w:rsidR="00025E47" w:rsidRPr="00833419">
        <w:rPr>
          <w:rFonts w:cstheme="minorHAnsi"/>
          <w:lang w:val="en-GB"/>
        </w:rPr>
        <w:t>,</w:t>
      </w:r>
      <w:r w:rsidRPr="00833419">
        <w:rPr>
          <w:rFonts w:cstheme="minorHAnsi"/>
          <w:lang w:val="en-GB"/>
        </w:rPr>
        <w:t xml:space="preserve"> she has been employed at the</w:t>
      </w:r>
      <w:r w:rsidR="00025E47" w:rsidRPr="00833419">
        <w:rPr>
          <w:rFonts w:cstheme="minorHAnsi"/>
          <w:lang w:val="en-GB"/>
        </w:rPr>
        <w:t xml:space="preserve"> Civil Department of</w:t>
      </w:r>
      <w:r w:rsidR="009D2646" w:rsidRPr="00833419">
        <w:rPr>
          <w:rFonts w:cstheme="minorHAnsi"/>
          <w:lang w:val="en-GB"/>
        </w:rPr>
        <w:t xml:space="preserve"> District</w:t>
      </w:r>
      <w:r w:rsidRPr="00833419">
        <w:rPr>
          <w:rFonts w:cstheme="minorHAnsi"/>
          <w:lang w:val="en-GB"/>
        </w:rPr>
        <w:t xml:space="preserve"> court </w:t>
      </w:r>
      <w:r w:rsidR="009D2646" w:rsidRPr="00833419">
        <w:rPr>
          <w:rFonts w:cstheme="minorHAnsi"/>
          <w:lang w:val="en-GB"/>
        </w:rPr>
        <w:t>of</w:t>
      </w:r>
      <w:r w:rsidRPr="00833419">
        <w:rPr>
          <w:rFonts w:cstheme="minorHAnsi"/>
          <w:lang w:val="en-GB"/>
        </w:rPr>
        <w:t xml:space="preserve"> </w:t>
      </w:r>
      <w:proofErr w:type="spellStart"/>
      <w:r w:rsidRPr="00833419">
        <w:rPr>
          <w:rFonts w:cstheme="minorHAnsi"/>
          <w:lang w:val="en-GB"/>
        </w:rPr>
        <w:t>Justville</w:t>
      </w:r>
      <w:proofErr w:type="spellEnd"/>
      <w:r w:rsidRPr="00833419">
        <w:rPr>
          <w:rFonts w:cstheme="minorHAnsi"/>
          <w:lang w:val="en-GB"/>
        </w:rPr>
        <w:t xml:space="preserve">, </w:t>
      </w:r>
      <w:r w:rsidR="009D2646" w:rsidRPr="00833419">
        <w:rPr>
          <w:rFonts w:cstheme="minorHAnsi"/>
          <w:lang w:val="en-GB"/>
        </w:rPr>
        <w:t xml:space="preserve">the </w:t>
      </w:r>
      <w:r w:rsidR="004D1A9F" w:rsidRPr="00833419">
        <w:rPr>
          <w:rFonts w:cstheme="minorHAnsi"/>
          <w:lang w:val="en-GB"/>
        </w:rPr>
        <w:t>second</w:t>
      </w:r>
      <w:r w:rsidR="009D2646" w:rsidRPr="00833419">
        <w:rPr>
          <w:rFonts w:cstheme="minorHAnsi"/>
          <w:lang w:val="en-GB"/>
        </w:rPr>
        <w:t xml:space="preserve"> largest city of </w:t>
      </w:r>
      <w:proofErr w:type="spellStart"/>
      <w:r w:rsidR="009D2646" w:rsidRPr="00833419">
        <w:rPr>
          <w:rFonts w:cstheme="minorHAnsi"/>
          <w:lang w:val="en-GB"/>
        </w:rPr>
        <w:t>Yuland</w:t>
      </w:r>
      <w:proofErr w:type="spellEnd"/>
      <w:r w:rsidR="009D2646" w:rsidRPr="00833419">
        <w:rPr>
          <w:rFonts w:cstheme="minorHAnsi"/>
          <w:lang w:val="en-GB"/>
        </w:rPr>
        <w:t>.</w:t>
      </w:r>
      <w:r w:rsidR="00F33105" w:rsidRPr="00833419">
        <w:rPr>
          <w:rFonts w:cstheme="minorHAnsi"/>
          <w:lang w:val="en-GB"/>
        </w:rPr>
        <w:t xml:space="preserve"> </w:t>
      </w:r>
      <w:r w:rsidR="00025E47" w:rsidRPr="00833419">
        <w:rPr>
          <w:rFonts w:cstheme="minorHAnsi"/>
          <w:lang w:val="en-GB"/>
        </w:rPr>
        <w:t xml:space="preserve">She has been working as a judicial assistant, drafting judgments, </w:t>
      </w:r>
      <w:proofErr w:type="gramStart"/>
      <w:r w:rsidR="00025E47" w:rsidRPr="00833419">
        <w:rPr>
          <w:rFonts w:cstheme="minorHAnsi"/>
          <w:lang w:val="en-GB"/>
        </w:rPr>
        <w:t>orders</w:t>
      </w:r>
      <w:proofErr w:type="gramEnd"/>
      <w:r w:rsidR="00025E47" w:rsidRPr="00833419">
        <w:rPr>
          <w:rFonts w:cstheme="minorHAnsi"/>
          <w:lang w:val="en-GB"/>
        </w:rPr>
        <w:t xml:space="preserve"> and other decisions of the court, and performing various other activities supporting the work of judges at the court. Apart from that, she was tasked with the allocation of mediators </w:t>
      </w:r>
      <w:r w:rsidR="00FC708A" w:rsidRPr="00833419">
        <w:rPr>
          <w:rFonts w:cstheme="minorHAnsi"/>
          <w:lang w:val="en-GB"/>
        </w:rPr>
        <w:t>to</w:t>
      </w:r>
      <w:r w:rsidR="00025E47" w:rsidRPr="00833419">
        <w:rPr>
          <w:rFonts w:cstheme="minorHAnsi"/>
          <w:lang w:val="en-GB"/>
        </w:rPr>
        <w:t xml:space="preserve"> civil</w:t>
      </w:r>
      <w:r w:rsidR="004D1A9F" w:rsidRPr="00833419">
        <w:rPr>
          <w:rFonts w:cstheme="minorHAnsi"/>
          <w:lang w:val="en-GB"/>
        </w:rPr>
        <w:t>, commercial, employment and family</w:t>
      </w:r>
      <w:r w:rsidR="00025E47" w:rsidRPr="00833419">
        <w:rPr>
          <w:rFonts w:cstheme="minorHAnsi"/>
          <w:lang w:val="en-GB"/>
        </w:rPr>
        <w:t xml:space="preserve"> cases, heard by the </w:t>
      </w:r>
      <w:proofErr w:type="gramStart"/>
      <w:r w:rsidR="00025E47" w:rsidRPr="00833419">
        <w:rPr>
          <w:rFonts w:cstheme="minorHAnsi"/>
          <w:lang w:val="en-GB"/>
        </w:rPr>
        <w:t>District</w:t>
      </w:r>
      <w:proofErr w:type="gramEnd"/>
      <w:r w:rsidR="00025E47" w:rsidRPr="00833419">
        <w:rPr>
          <w:rFonts w:cstheme="minorHAnsi"/>
          <w:lang w:val="en-GB"/>
        </w:rPr>
        <w:t xml:space="preserve"> court of </w:t>
      </w:r>
      <w:proofErr w:type="spellStart"/>
      <w:r w:rsidR="00025E47" w:rsidRPr="00833419">
        <w:rPr>
          <w:rFonts w:cstheme="minorHAnsi"/>
          <w:lang w:val="en-GB"/>
        </w:rPr>
        <w:t>Justville</w:t>
      </w:r>
      <w:proofErr w:type="spellEnd"/>
      <w:r w:rsidR="00025E47" w:rsidRPr="00833419">
        <w:rPr>
          <w:rFonts w:cstheme="minorHAnsi"/>
          <w:lang w:val="en-GB"/>
        </w:rPr>
        <w:t xml:space="preserve">. </w:t>
      </w:r>
      <w:r w:rsidR="001F7343" w:rsidRPr="00833419">
        <w:rPr>
          <w:rFonts w:cstheme="minorHAnsi"/>
          <w:lang w:val="en-GB"/>
        </w:rPr>
        <w:t xml:space="preserve">The mediators </w:t>
      </w:r>
      <w:r w:rsidR="00AB0299" w:rsidRPr="00833419">
        <w:rPr>
          <w:rFonts w:cstheme="minorHAnsi"/>
          <w:lang w:val="en-GB"/>
        </w:rPr>
        <w:t>are</w:t>
      </w:r>
      <w:r w:rsidR="001F7343" w:rsidRPr="00833419">
        <w:rPr>
          <w:rFonts w:cstheme="minorHAnsi"/>
          <w:lang w:val="en-GB"/>
        </w:rPr>
        <w:t xml:space="preserve"> allocated t</w:t>
      </w:r>
      <w:r w:rsidR="00C96E88" w:rsidRPr="00833419">
        <w:rPr>
          <w:rFonts w:cstheme="minorHAnsi"/>
          <w:lang w:val="en-GB"/>
        </w:rPr>
        <w:t>o cases, in which the parties do</w:t>
      </w:r>
      <w:r w:rsidR="001F7343" w:rsidRPr="00833419">
        <w:rPr>
          <w:rFonts w:cstheme="minorHAnsi"/>
          <w:lang w:val="en-GB"/>
        </w:rPr>
        <w:t xml:space="preserve"> not come to an agreement on the preferred mediator. These cases represented </w:t>
      </w:r>
      <w:r w:rsidR="00AB0299" w:rsidRPr="00833419">
        <w:rPr>
          <w:rFonts w:cstheme="minorHAnsi"/>
          <w:lang w:val="en-GB"/>
        </w:rPr>
        <w:t xml:space="preserve">more than 90% of </w:t>
      </w:r>
      <w:r w:rsidR="001F7343" w:rsidRPr="00833419">
        <w:rPr>
          <w:rFonts w:cstheme="minorHAnsi"/>
          <w:lang w:val="en-GB"/>
        </w:rPr>
        <w:t>all</w:t>
      </w:r>
      <w:r w:rsidR="00AB0299" w:rsidRPr="00833419">
        <w:rPr>
          <w:rFonts w:cstheme="minorHAnsi"/>
          <w:lang w:val="en-GB"/>
        </w:rPr>
        <w:t xml:space="preserve"> cases of mediation.</w:t>
      </w:r>
      <w:r w:rsidR="001F7343" w:rsidRPr="00833419">
        <w:rPr>
          <w:rFonts w:cstheme="minorHAnsi"/>
          <w:lang w:val="en-GB"/>
        </w:rPr>
        <w:t xml:space="preserve">  </w:t>
      </w:r>
    </w:p>
    <w:p w14:paraId="10D14DC2" w14:textId="0593C064" w:rsidR="004D1A9F" w:rsidRPr="00833419" w:rsidRDefault="00FC708A" w:rsidP="00A91FB6">
      <w:pPr>
        <w:jc w:val="both"/>
        <w:rPr>
          <w:rFonts w:cstheme="minorHAnsi"/>
          <w:lang w:val="en-GB"/>
        </w:rPr>
      </w:pPr>
      <w:r w:rsidRPr="00833419">
        <w:rPr>
          <w:rFonts w:cstheme="minorHAnsi"/>
          <w:lang w:val="en-GB"/>
        </w:rPr>
        <w:t xml:space="preserve">Mediation is an important alternative dispute resolution mechanism in </w:t>
      </w:r>
      <w:proofErr w:type="spellStart"/>
      <w:r w:rsidRPr="00833419">
        <w:rPr>
          <w:rFonts w:cstheme="minorHAnsi"/>
          <w:lang w:val="en-GB"/>
        </w:rPr>
        <w:t>Yuland</w:t>
      </w:r>
      <w:proofErr w:type="spellEnd"/>
      <w:r w:rsidRPr="00833419">
        <w:rPr>
          <w:rFonts w:cstheme="minorHAnsi"/>
          <w:lang w:val="en-GB"/>
        </w:rPr>
        <w:t>, a country struggling with sub</w:t>
      </w:r>
      <w:r w:rsidR="00AB0299" w:rsidRPr="00833419">
        <w:rPr>
          <w:rFonts w:cstheme="minorHAnsi"/>
          <w:lang w:val="en-GB"/>
        </w:rPr>
        <w:t xml:space="preserve">stantive judicial backlog. </w:t>
      </w:r>
      <w:r w:rsidR="00C96E88" w:rsidRPr="00833419">
        <w:rPr>
          <w:rFonts w:cstheme="minorHAnsi"/>
          <w:lang w:val="en-GB"/>
        </w:rPr>
        <w:t xml:space="preserve">Parties are encouraged to make use of mediation by lower court fees and invitations the court service sends to the parties by default. </w:t>
      </w:r>
      <w:r w:rsidR="00AB0299" w:rsidRPr="00833419">
        <w:rPr>
          <w:rFonts w:cstheme="minorHAnsi"/>
          <w:lang w:val="en-GB"/>
        </w:rPr>
        <w:t>M</w:t>
      </w:r>
      <w:r w:rsidRPr="00833419">
        <w:rPr>
          <w:rFonts w:cstheme="minorHAnsi"/>
          <w:lang w:val="en-GB"/>
        </w:rPr>
        <w:t xml:space="preserve">ediators are legal experts, mostly judges and attorneys. They receive an award for their work </w:t>
      </w:r>
      <w:r w:rsidR="00AB0299" w:rsidRPr="00833419">
        <w:rPr>
          <w:rFonts w:cstheme="minorHAnsi"/>
          <w:lang w:val="en-GB"/>
        </w:rPr>
        <w:t xml:space="preserve">based on the </w:t>
      </w:r>
      <w:r w:rsidRPr="00833419">
        <w:rPr>
          <w:rFonts w:cstheme="minorHAnsi"/>
          <w:lang w:val="en-GB"/>
        </w:rPr>
        <w:t>number of mediation meetings,</w:t>
      </w:r>
      <w:r w:rsidR="00AB0299" w:rsidRPr="00833419">
        <w:rPr>
          <w:rFonts w:cstheme="minorHAnsi"/>
          <w:lang w:val="en-GB"/>
        </w:rPr>
        <w:t xml:space="preserve"> their duration,</w:t>
      </w:r>
      <w:r w:rsidRPr="00833419">
        <w:rPr>
          <w:rFonts w:cstheme="minorHAnsi"/>
          <w:lang w:val="en-GB"/>
        </w:rPr>
        <w:t xml:space="preserve"> the complexity of the case / the pecuniary value of the dispute, and an additional award for </w:t>
      </w:r>
      <w:r w:rsidR="001F7343" w:rsidRPr="00833419">
        <w:rPr>
          <w:rFonts w:cstheme="minorHAnsi"/>
          <w:lang w:val="en-GB"/>
        </w:rPr>
        <w:t xml:space="preserve">securing </w:t>
      </w:r>
      <w:r w:rsidRPr="00833419">
        <w:rPr>
          <w:rFonts w:cstheme="minorHAnsi"/>
          <w:lang w:val="en-GB"/>
        </w:rPr>
        <w:t>the settlement of the dispute. The awards for mediators have recently been increased, as one of a series of measures aimed at combating judicial backlog.</w:t>
      </w:r>
      <w:r w:rsidR="00AB0299" w:rsidRPr="00833419">
        <w:rPr>
          <w:rFonts w:cstheme="minorHAnsi"/>
          <w:lang w:val="en-GB"/>
        </w:rPr>
        <w:t xml:space="preserve"> </w:t>
      </w:r>
    </w:p>
    <w:p w14:paraId="316EDADC" w14:textId="0EEDDD53" w:rsidR="004D1A9F" w:rsidRPr="00833419" w:rsidRDefault="004D1A9F" w:rsidP="00A91FB6">
      <w:pPr>
        <w:jc w:val="both"/>
        <w:rPr>
          <w:rFonts w:cstheme="minorHAnsi"/>
          <w:lang w:val="en-GB"/>
        </w:rPr>
      </w:pPr>
      <w:r w:rsidRPr="00833419">
        <w:rPr>
          <w:rFonts w:cstheme="minorHAnsi"/>
          <w:lang w:val="en-GB"/>
        </w:rPr>
        <w:t>On a rainy Monday morning,</w:t>
      </w:r>
      <w:r w:rsidR="003208E1" w:rsidRPr="00833419">
        <w:rPr>
          <w:rFonts w:cstheme="minorHAnsi"/>
          <w:lang w:val="en-GB"/>
        </w:rPr>
        <w:t xml:space="preserve"> 11</w:t>
      </w:r>
      <w:r w:rsidR="00C21BC6" w:rsidRPr="00833419">
        <w:rPr>
          <w:rFonts w:cstheme="minorHAnsi"/>
          <w:lang w:val="en-GB"/>
        </w:rPr>
        <w:t xml:space="preserve"> March 2024,</w:t>
      </w:r>
      <w:r w:rsidRPr="00833419">
        <w:rPr>
          <w:rFonts w:cstheme="minorHAnsi"/>
          <w:lang w:val="en-GB"/>
        </w:rPr>
        <w:t xml:space="preserve"> when</w:t>
      </w:r>
      <w:r w:rsidR="00FC708A" w:rsidRPr="00833419">
        <w:rPr>
          <w:rFonts w:cstheme="minorHAnsi"/>
          <w:lang w:val="en-GB"/>
        </w:rPr>
        <w:t xml:space="preserve"> Ana</w:t>
      </w:r>
      <w:r w:rsidRPr="00833419">
        <w:rPr>
          <w:rFonts w:cstheme="minorHAnsi"/>
          <w:lang w:val="en-GB"/>
        </w:rPr>
        <w:t xml:space="preserve"> arrived at work, she found a</w:t>
      </w:r>
      <w:r w:rsidR="00C96E88" w:rsidRPr="00833419">
        <w:rPr>
          <w:rFonts w:cstheme="minorHAnsi"/>
          <w:lang w:val="en-GB"/>
        </w:rPr>
        <w:t>n envelope with her name in</w:t>
      </w:r>
      <w:r w:rsidRPr="00833419">
        <w:rPr>
          <w:rFonts w:cstheme="minorHAnsi"/>
          <w:lang w:val="en-GB"/>
        </w:rPr>
        <w:t xml:space="preserve"> her mailbox. </w:t>
      </w:r>
      <w:r w:rsidR="00C96E88" w:rsidRPr="00833419">
        <w:rPr>
          <w:rFonts w:cstheme="minorHAnsi"/>
          <w:lang w:val="en-GB"/>
        </w:rPr>
        <w:t xml:space="preserve">It contained a </w:t>
      </w:r>
      <w:r w:rsidRPr="00833419">
        <w:rPr>
          <w:rFonts w:cstheme="minorHAnsi"/>
          <w:lang w:val="en-GB"/>
        </w:rPr>
        <w:t xml:space="preserve">document </w:t>
      </w:r>
      <w:r w:rsidR="00C96E88" w:rsidRPr="00833419">
        <w:rPr>
          <w:rFonts w:cstheme="minorHAnsi"/>
          <w:lang w:val="en-GB"/>
        </w:rPr>
        <w:t xml:space="preserve">with a </w:t>
      </w:r>
      <w:r w:rsidRPr="00833419">
        <w:rPr>
          <w:rFonts w:cstheme="minorHAnsi"/>
          <w:lang w:val="en-GB"/>
        </w:rPr>
        <w:t xml:space="preserve">list of numbers and identifiers of </w:t>
      </w:r>
      <w:r w:rsidR="001F7343" w:rsidRPr="00833419">
        <w:rPr>
          <w:rFonts w:cstheme="minorHAnsi"/>
          <w:lang w:val="en-GB"/>
        </w:rPr>
        <w:t xml:space="preserve">open cases. </w:t>
      </w:r>
      <w:r w:rsidR="00C96E88" w:rsidRPr="00833419">
        <w:rPr>
          <w:rFonts w:cstheme="minorHAnsi"/>
          <w:lang w:val="en-GB"/>
        </w:rPr>
        <w:t xml:space="preserve">She quickly understood that these were cases, to which she was required to allocate mediators. The document was downloaded from an intranet portal, to which all the employees of courts in </w:t>
      </w:r>
      <w:proofErr w:type="spellStart"/>
      <w:r w:rsidR="00C96E88" w:rsidRPr="00833419">
        <w:rPr>
          <w:rFonts w:cstheme="minorHAnsi"/>
          <w:lang w:val="en-GB"/>
        </w:rPr>
        <w:t>Yuland</w:t>
      </w:r>
      <w:proofErr w:type="spellEnd"/>
      <w:r w:rsidR="00C96E88" w:rsidRPr="00833419">
        <w:rPr>
          <w:rFonts w:cstheme="minorHAnsi"/>
          <w:lang w:val="en-GB"/>
        </w:rPr>
        <w:t xml:space="preserve"> had access. </w:t>
      </w:r>
      <w:r w:rsidR="00964A72" w:rsidRPr="00833419">
        <w:rPr>
          <w:rFonts w:cstheme="minorHAnsi"/>
          <w:lang w:val="en-GB"/>
        </w:rPr>
        <w:t>Based on the phases</w:t>
      </w:r>
      <w:r w:rsidR="00C96E88" w:rsidRPr="00833419">
        <w:rPr>
          <w:rFonts w:cstheme="minorHAnsi"/>
          <w:lang w:val="en-GB"/>
        </w:rPr>
        <w:t xml:space="preserve"> individual procedures were in, the portal automatically generated a list of cases to which the </w:t>
      </w:r>
      <w:r w:rsidR="00426564" w:rsidRPr="00833419">
        <w:rPr>
          <w:rFonts w:cstheme="minorHAnsi"/>
          <w:lang w:val="en-GB"/>
        </w:rPr>
        <w:t>mediators</w:t>
      </w:r>
      <w:r w:rsidR="00C96E88" w:rsidRPr="00833419">
        <w:rPr>
          <w:rFonts w:cstheme="minorHAnsi"/>
          <w:lang w:val="en-GB"/>
        </w:rPr>
        <w:t xml:space="preserve"> had to be allocated.</w:t>
      </w:r>
      <w:r w:rsidR="00964A72" w:rsidRPr="00833419">
        <w:rPr>
          <w:rFonts w:cstheme="minorHAnsi"/>
          <w:lang w:val="en-GB"/>
        </w:rPr>
        <w:t xml:space="preserve"> Normally, Ana would log into the portal and download that list by herself once a week, and then allocate mediators</w:t>
      </w:r>
      <w:r w:rsidR="007E335A" w:rsidRPr="00833419">
        <w:rPr>
          <w:rFonts w:cstheme="minorHAnsi"/>
          <w:lang w:val="en-GB"/>
        </w:rPr>
        <w:t>.</w:t>
      </w:r>
      <w:r w:rsidR="007E335A" w:rsidRPr="00833419">
        <w:rPr>
          <w:lang w:val="en-GB"/>
        </w:rPr>
        <w:t xml:space="preserve"> </w:t>
      </w:r>
      <w:r w:rsidR="00964A72" w:rsidRPr="00833419">
        <w:rPr>
          <w:rFonts w:cstheme="minorHAnsi"/>
          <w:lang w:val="en-GB"/>
        </w:rPr>
        <w:t xml:space="preserve">This time somebody has done the job </w:t>
      </w:r>
      <w:r w:rsidR="00BE1FF6" w:rsidRPr="00833419">
        <w:rPr>
          <w:rFonts w:cstheme="minorHAnsi"/>
          <w:lang w:val="en-GB"/>
        </w:rPr>
        <w:t>for her.</w:t>
      </w:r>
    </w:p>
    <w:p w14:paraId="66C08DE4" w14:textId="27FF76AA" w:rsidR="00C21BC6" w:rsidRPr="00833419" w:rsidRDefault="00964A72" w:rsidP="00A91FB6">
      <w:pPr>
        <w:jc w:val="both"/>
        <w:rPr>
          <w:rFonts w:cstheme="minorHAnsi"/>
          <w:lang w:val="en-GB"/>
        </w:rPr>
      </w:pPr>
      <w:r w:rsidRPr="00833419">
        <w:rPr>
          <w:rFonts w:cstheme="minorHAnsi"/>
          <w:lang w:val="en-GB"/>
        </w:rPr>
        <w:t xml:space="preserve">Ana was </w:t>
      </w:r>
      <w:r w:rsidR="00C21BC6" w:rsidRPr="00833419">
        <w:rPr>
          <w:rFonts w:cstheme="minorHAnsi"/>
          <w:lang w:val="en-GB"/>
        </w:rPr>
        <w:t xml:space="preserve">deeply </w:t>
      </w:r>
      <w:r w:rsidRPr="00833419">
        <w:rPr>
          <w:rFonts w:cstheme="minorHAnsi"/>
          <w:lang w:val="en-GB"/>
        </w:rPr>
        <w:t>troubled by th</w:t>
      </w:r>
      <w:r w:rsidR="00C21BC6" w:rsidRPr="00833419">
        <w:rPr>
          <w:rFonts w:cstheme="minorHAnsi"/>
          <w:lang w:val="en-GB"/>
        </w:rPr>
        <w:t xml:space="preserve">e document. She knew somebody from her court wanted to impact the allocation of </w:t>
      </w:r>
      <w:r w:rsidR="003B4543" w:rsidRPr="00833419">
        <w:rPr>
          <w:rFonts w:cstheme="minorHAnsi"/>
          <w:lang w:val="en-GB"/>
        </w:rPr>
        <w:t>mediators but</w:t>
      </w:r>
      <w:r w:rsidRPr="00833419">
        <w:rPr>
          <w:rFonts w:cstheme="minorHAnsi"/>
          <w:lang w:val="en-GB"/>
        </w:rPr>
        <w:t xml:space="preserve"> </w:t>
      </w:r>
      <w:r w:rsidR="00C21BC6" w:rsidRPr="00833419">
        <w:rPr>
          <w:rFonts w:cstheme="minorHAnsi"/>
          <w:lang w:val="en-GB"/>
        </w:rPr>
        <w:t xml:space="preserve">was afraid to report it to the superiors out of fear of reprisal. She heard that there are obscure networks at the court and </w:t>
      </w:r>
      <w:r w:rsidR="00426564" w:rsidRPr="00833419">
        <w:rPr>
          <w:rFonts w:cstheme="minorHAnsi"/>
          <w:lang w:val="en-GB"/>
        </w:rPr>
        <w:t xml:space="preserve">was afraid </w:t>
      </w:r>
      <w:r w:rsidR="00C21BC6" w:rsidRPr="00833419">
        <w:rPr>
          <w:rFonts w:cstheme="minorHAnsi"/>
          <w:lang w:val="en-GB"/>
        </w:rPr>
        <w:t>that even telling a colleague could expose her to serious inconvenience. As a newcomer, struggling to grasp the relations within her workplace, she decided to wait what the following weeks will bring.</w:t>
      </w:r>
    </w:p>
    <w:p w14:paraId="0044C75A" w14:textId="5289B923" w:rsidR="00375650" w:rsidRPr="00833419" w:rsidRDefault="00C21BC6" w:rsidP="00A91FB6">
      <w:pPr>
        <w:jc w:val="both"/>
        <w:rPr>
          <w:rFonts w:cstheme="minorHAnsi"/>
          <w:lang w:val="en-GB"/>
        </w:rPr>
      </w:pPr>
      <w:r w:rsidRPr="00833419">
        <w:rPr>
          <w:rFonts w:cstheme="minorHAnsi"/>
          <w:lang w:val="en-GB"/>
        </w:rPr>
        <w:t>Next Monday morning</w:t>
      </w:r>
      <w:r w:rsidR="003208E1" w:rsidRPr="00833419">
        <w:rPr>
          <w:rFonts w:cstheme="minorHAnsi"/>
          <w:lang w:val="en-GB"/>
        </w:rPr>
        <w:t>,</w:t>
      </w:r>
      <w:r w:rsidR="00385875">
        <w:rPr>
          <w:rFonts w:cstheme="minorHAnsi"/>
          <w:lang w:val="en-GB"/>
        </w:rPr>
        <w:t xml:space="preserve"> </w:t>
      </w:r>
      <w:r w:rsidRPr="00833419">
        <w:rPr>
          <w:rFonts w:cstheme="minorHAnsi"/>
          <w:lang w:val="en-GB"/>
        </w:rPr>
        <w:t>a new envelope was waiting for her in the mailbox. This continued for two months. Ana quickly realised that</w:t>
      </w:r>
      <w:r w:rsidR="00BE1FF6" w:rsidRPr="00833419">
        <w:rPr>
          <w:rFonts w:cstheme="minorHAnsi"/>
          <w:lang w:val="en-GB"/>
        </w:rPr>
        <w:t xml:space="preserve"> a suspicious pattern. T</w:t>
      </w:r>
      <w:r w:rsidR="003208E1" w:rsidRPr="00833419">
        <w:rPr>
          <w:rFonts w:cstheme="minorHAnsi"/>
          <w:lang w:val="en-GB"/>
        </w:rPr>
        <w:t>he names to whom the</w:t>
      </w:r>
      <w:r w:rsidR="00375650" w:rsidRPr="00833419">
        <w:rPr>
          <w:rFonts w:cstheme="minorHAnsi"/>
          <w:lang w:val="en-GB"/>
        </w:rPr>
        <w:t xml:space="preserve"> cases</w:t>
      </w:r>
      <w:r w:rsidR="00BE1FF6" w:rsidRPr="00833419">
        <w:rPr>
          <w:rFonts w:cstheme="minorHAnsi"/>
          <w:lang w:val="en-GB"/>
        </w:rPr>
        <w:t xml:space="preserve"> with a high pecuniary value of the dispute, meaning a high award for the mediator,</w:t>
      </w:r>
      <w:r w:rsidR="003208E1" w:rsidRPr="00833419">
        <w:rPr>
          <w:rFonts w:cstheme="minorHAnsi"/>
          <w:lang w:val="en-GB"/>
        </w:rPr>
        <w:t xml:space="preserve"> were allocated, </w:t>
      </w:r>
      <w:r w:rsidR="00375650" w:rsidRPr="00833419">
        <w:rPr>
          <w:rFonts w:cstheme="minorHAnsi"/>
          <w:lang w:val="en-GB"/>
        </w:rPr>
        <w:t xml:space="preserve">were </w:t>
      </w:r>
      <w:r w:rsidR="003B4543" w:rsidRPr="00833419">
        <w:rPr>
          <w:rFonts w:cstheme="minorHAnsi"/>
          <w:lang w:val="en-GB"/>
        </w:rPr>
        <w:t>repeating</w:t>
      </w:r>
      <w:r w:rsidR="00375650" w:rsidRPr="00833419">
        <w:rPr>
          <w:rFonts w:cstheme="minorHAnsi"/>
          <w:lang w:val="en-GB"/>
        </w:rPr>
        <w:t>, with some exceptions</w:t>
      </w:r>
      <w:r w:rsidR="001D01FD" w:rsidRPr="00833419">
        <w:rPr>
          <w:rFonts w:cstheme="minorHAnsi"/>
          <w:lang w:val="en-GB"/>
        </w:rPr>
        <w:t>. The</w:t>
      </w:r>
      <w:r w:rsidR="00BE1FF6" w:rsidRPr="00833419">
        <w:rPr>
          <w:rFonts w:cstheme="minorHAnsi"/>
          <w:lang w:val="en-GB"/>
        </w:rPr>
        <w:t>se</w:t>
      </w:r>
      <w:r w:rsidR="001D01FD" w:rsidRPr="00833419">
        <w:rPr>
          <w:rFonts w:cstheme="minorHAnsi"/>
          <w:lang w:val="en-GB"/>
        </w:rPr>
        <w:t xml:space="preserve"> cases were allocated to </w:t>
      </w:r>
      <w:r w:rsidR="00BE1FF6" w:rsidRPr="00833419">
        <w:rPr>
          <w:rFonts w:cstheme="minorHAnsi"/>
          <w:lang w:val="en-GB"/>
        </w:rPr>
        <w:t>15</w:t>
      </w:r>
      <w:r w:rsidR="001D01FD" w:rsidRPr="00833419">
        <w:rPr>
          <w:rFonts w:cstheme="minorHAnsi"/>
          <w:lang w:val="en-GB"/>
        </w:rPr>
        <w:t xml:space="preserve"> in</w:t>
      </w:r>
      <w:r w:rsidR="00BE1FF6" w:rsidRPr="00833419">
        <w:rPr>
          <w:rFonts w:cstheme="minorHAnsi"/>
          <w:lang w:val="en-GB"/>
        </w:rPr>
        <w:t>dividuals, 8 attorneys and 7</w:t>
      </w:r>
      <w:r w:rsidR="00375650" w:rsidRPr="00833419">
        <w:rPr>
          <w:rFonts w:cstheme="minorHAnsi"/>
          <w:lang w:val="en-GB"/>
        </w:rPr>
        <w:t xml:space="preserve"> judges</w:t>
      </w:r>
      <w:r w:rsidR="00106C37" w:rsidRPr="00833419">
        <w:rPr>
          <w:rFonts w:cstheme="minorHAnsi"/>
          <w:lang w:val="en-GB"/>
        </w:rPr>
        <w:t xml:space="preserve">, working in different parts of </w:t>
      </w:r>
      <w:proofErr w:type="spellStart"/>
      <w:r w:rsidR="00106C37" w:rsidRPr="00833419">
        <w:rPr>
          <w:rFonts w:cstheme="minorHAnsi"/>
          <w:lang w:val="en-GB"/>
        </w:rPr>
        <w:t>Yuland</w:t>
      </w:r>
      <w:proofErr w:type="spellEnd"/>
      <w:r w:rsidR="00106C37" w:rsidRPr="00833419">
        <w:rPr>
          <w:rFonts w:cstheme="minorHAnsi"/>
          <w:lang w:val="en-GB"/>
        </w:rPr>
        <w:t xml:space="preserve">. </w:t>
      </w:r>
      <w:r w:rsidR="00375650" w:rsidRPr="00833419">
        <w:rPr>
          <w:rFonts w:cstheme="minorHAnsi"/>
          <w:lang w:val="en-GB"/>
        </w:rPr>
        <w:t>She suspected that a network is relying on an insider from her court to ensure they will be allocated the most profitable mediation cases.</w:t>
      </w:r>
    </w:p>
    <w:p w14:paraId="26D1447E" w14:textId="6F1DD35C" w:rsidR="00CA052A" w:rsidRPr="00833419" w:rsidRDefault="00B777A1" w:rsidP="00A91FB6">
      <w:pPr>
        <w:jc w:val="both"/>
        <w:rPr>
          <w:rFonts w:cstheme="minorHAnsi"/>
          <w:lang w:val="en-GB"/>
        </w:rPr>
      </w:pPr>
      <w:r w:rsidRPr="00833419">
        <w:rPr>
          <w:rFonts w:cstheme="minorHAnsi"/>
          <w:lang w:val="en-GB"/>
        </w:rPr>
        <w:t xml:space="preserve">The practice continued in the coming weeks and Ana felt she is </w:t>
      </w:r>
      <w:r w:rsidR="004D19CF" w:rsidRPr="00833419">
        <w:rPr>
          <w:rFonts w:cstheme="minorHAnsi"/>
          <w:lang w:val="en-GB"/>
        </w:rPr>
        <w:t xml:space="preserve">involuntary </w:t>
      </w:r>
      <w:r w:rsidRPr="00833419">
        <w:rPr>
          <w:rFonts w:cstheme="minorHAnsi"/>
          <w:lang w:val="en-GB"/>
        </w:rPr>
        <w:t>becoming a</w:t>
      </w:r>
      <w:r w:rsidR="004D19CF" w:rsidRPr="00833419">
        <w:rPr>
          <w:rFonts w:cstheme="minorHAnsi"/>
          <w:lang w:val="en-GB"/>
        </w:rPr>
        <w:t xml:space="preserve"> part of an organised </w:t>
      </w:r>
      <w:r w:rsidR="00426564" w:rsidRPr="00833419">
        <w:rPr>
          <w:rFonts w:cstheme="minorHAnsi"/>
          <w:lang w:val="en-GB"/>
        </w:rPr>
        <w:t xml:space="preserve">criminal </w:t>
      </w:r>
      <w:r w:rsidR="004D19CF" w:rsidRPr="00833419">
        <w:rPr>
          <w:rFonts w:cstheme="minorHAnsi"/>
          <w:lang w:val="en-GB"/>
        </w:rPr>
        <w:t xml:space="preserve">group. She </w:t>
      </w:r>
      <w:r w:rsidR="00426564" w:rsidRPr="00833419">
        <w:rPr>
          <w:rFonts w:cstheme="minorHAnsi"/>
          <w:lang w:val="en-GB"/>
        </w:rPr>
        <w:t>was aware she is</w:t>
      </w:r>
      <w:r w:rsidR="004D19CF" w:rsidRPr="00833419">
        <w:rPr>
          <w:rFonts w:cstheme="minorHAnsi"/>
          <w:lang w:val="en-GB"/>
        </w:rPr>
        <w:t xml:space="preserve"> the one ultimately responsible for the allocation of mediators. She did not know what to do. On the one hand, she was afraid to report the misconduct to the president of the Court or the court secretary who was the </w:t>
      </w:r>
      <w:r w:rsidR="00BE1FF6" w:rsidRPr="00833419">
        <w:rPr>
          <w:rFonts w:cstheme="minorHAnsi"/>
          <w:lang w:val="en-GB"/>
        </w:rPr>
        <w:t>designated person</w:t>
      </w:r>
      <w:r w:rsidR="004D19CF" w:rsidRPr="00833419">
        <w:rPr>
          <w:rFonts w:cstheme="minorHAnsi"/>
          <w:lang w:val="en-GB"/>
        </w:rPr>
        <w:t xml:space="preserve"> in cases of various kinds of emergency in the workplace. On the other hand, she </w:t>
      </w:r>
      <w:r w:rsidR="003208E1" w:rsidRPr="00833419">
        <w:rPr>
          <w:rFonts w:cstheme="minorHAnsi"/>
          <w:lang w:val="en-GB"/>
        </w:rPr>
        <w:t>feared</w:t>
      </w:r>
      <w:r w:rsidR="004D19CF" w:rsidRPr="00833419">
        <w:rPr>
          <w:rFonts w:cstheme="minorHAnsi"/>
          <w:lang w:val="en-GB"/>
        </w:rPr>
        <w:t xml:space="preserve"> that others outside the group would discover the secret interference in allocation of mediators. In this case, she would be one of the main suspects. The situation started to </w:t>
      </w:r>
      <w:r w:rsidR="003208E1" w:rsidRPr="00833419">
        <w:rPr>
          <w:rFonts w:cstheme="minorHAnsi"/>
          <w:lang w:val="en-GB"/>
        </w:rPr>
        <w:t>affect</w:t>
      </w:r>
      <w:r w:rsidR="004D19CF" w:rsidRPr="00833419">
        <w:rPr>
          <w:rFonts w:cstheme="minorHAnsi"/>
          <w:lang w:val="en-GB"/>
        </w:rPr>
        <w:t xml:space="preserve"> her health and private life. She had trouble sleeping and was often filling sick. She fell ill and upon her return to work, she realised </w:t>
      </w:r>
      <w:r w:rsidR="00CC327F" w:rsidRPr="00833419">
        <w:rPr>
          <w:rFonts w:cstheme="minorHAnsi"/>
          <w:lang w:val="en-GB"/>
        </w:rPr>
        <w:t xml:space="preserve">nobody allocated </w:t>
      </w:r>
      <w:r w:rsidR="00CA052A" w:rsidRPr="00833419">
        <w:rPr>
          <w:rFonts w:cstheme="minorHAnsi"/>
          <w:lang w:val="en-GB"/>
        </w:rPr>
        <w:t xml:space="preserve">the mediators for the past week. At that point, she was convinced – somebody is using her to cover his </w:t>
      </w:r>
      <w:r w:rsidR="00CA052A" w:rsidRPr="00833419">
        <w:rPr>
          <w:rFonts w:cstheme="minorHAnsi"/>
          <w:lang w:val="en-GB"/>
        </w:rPr>
        <w:lastRenderedPageBreak/>
        <w:t>own wrongdoings. After talking once again to her family and friends about the situation, she decided to put an end to the painful circumstance she found herself in</w:t>
      </w:r>
      <w:r w:rsidR="003A4D7E" w:rsidRPr="00833419">
        <w:rPr>
          <w:rFonts w:cstheme="minorHAnsi"/>
          <w:lang w:val="en-GB"/>
        </w:rPr>
        <w:t>. S</w:t>
      </w:r>
      <w:r w:rsidR="00CA052A" w:rsidRPr="00833419">
        <w:rPr>
          <w:rFonts w:cstheme="minorHAnsi"/>
          <w:lang w:val="en-GB"/>
        </w:rPr>
        <w:t>he file</w:t>
      </w:r>
      <w:r w:rsidR="003A4D7E" w:rsidRPr="00833419">
        <w:rPr>
          <w:rFonts w:cstheme="minorHAnsi"/>
          <w:lang w:val="en-GB"/>
        </w:rPr>
        <w:t>d</w:t>
      </w:r>
      <w:r w:rsidR="00CA052A" w:rsidRPr="00833419">
        <w:rPr>
          <w:rFonts w:cstheme="minorHAnsi"/>
          <w:lang w:val="en-GB"/>
        </w:rPr>
        <w:t xml:space="preserve"> </w:t>
      </w:r>
      <w:r w:rsidR="003A4D7E" w:rsidRPr="00833419">
        <w:rPr>
          <w:rFonts w:cstheme="minorHAnsi"/>
          <w:lang w:val="en-GB"/>
        </w:rPr>
        <w:t xml:space="preserve">a </w:t>
      </w:r>
      <w:r w:rsidR="00CA052A" w:rsidRPr="00833419">
        <w:rPr>
          <w:rFonts w:cstheme="minorHAnsi"/>
          <w:lang w:val="en-GB"/>
        </w:rPr>
        <w:t>report, whatever the consequences.</w:t>
      </w:r>
    </w:p>
    <w:p w14:paraId="193C109C" w14:textId="1E1B5521" w:rsidR="0091482E" w:rsidRPr="00833419" w:rsidRDefault="0091482E" w:rsidP="00A91FB6">
      <w:pPr>
        <w:jc w:val="both"/>
        <w:rPr>
          <w:rFonts w:cstheme="minorHAnsi"/>
          <w:lang w:val="en-GB" w:eastAsia="sl-SI"/>
        </w:rPr>
      </w:pPr>
      <w:r w:rsidRPr="00833419">
        <w:rPr>
          <w:rFonts w:cstheme="minorHAnsi"/>
          <w:lang w:val="en-GB"/>
        </w:rPr>
        <w:t xml:space="preserve">In the report, she sent </w:t>
      </w:r>
      <w:r w:rsidR="00CA052A" w:rsidRPr="00833419">
        <w:rPr>
          <w:rFonts w:cstheme="minorHAnsi"/>
          <w:lang w:val="en-GB"/>
        </w:rPr>
        <w:t xml:space="preserve">under Articles 10 and 11 of the Whistleblowers protection Act to the Anti-Corruption </w:t>
      </w:r>
      <w:r w:rsidR="00CA052A" w:rsidRPr="00833419">
        <w:rPr>
          <w:rFonts w:cstheme="minorHAnsi"/>
          <w:lang w:val="en-GB" w:eastAsia="sl-SI"/>
        </w:rPr>
        <w:t>Commission</w:t>
      </w:r>
      <w:r w:rsidRPr="00833419">
        <w:rPr>
          <w:rFonts w:cstheme="minorHAnsi"/>
          <w:lang w:val="en-GB" w:eastAsia="sl-SI"/>
        </w:rPr>
        <w:t xml:space="preserve"> of </w:t>
      </w:r>
      <w:proofErr w:type="spellStart"/>
      <w:r w:rsidRPr="00833419">
        <w:rPr>
          <w:rFonts w:cstheme="minorHAnsi"/>
          <w:lang w:val="en-GB" w:eastAsia="sl-SI"/>
        </w:rPr>
        <w:t>Yuland</w:t>
      </w:r>
      <w:proofErr w:type="spellEnd"/>
      <w:r w:rsidRPr="00833419">
        <w:rPr>
          <w:rFonts w:cstheme="minorHAnsi"/>
          <w:lang w:val="en-GB" w:eastAsia="sl-SI"/>
        </w:rPr>
        <w:t>, she very honestly and thoroughly described the situation at the court. She explained how the procedure worked before the interference</w:t>
      </w:r>
      <w:r w:rsidR="00107386" w:rsidRPr="00833419">
        <w:rPr>
          <w:rFonts w:cstheme="minorHAnsi"/>
          <w:lang w:val="en-GB" w:eastAsia="sl-SI"/>
        </w:rPr>
        <w:t xml:space="preserve"> in allocation</w:t>
      </w:r>
      <w:r w:rsidRPr="00833419">
        <w:rPr>
          <w:rFonts w:cstheme="minorHAnsi"/>
          <w:lang w:val="en-GB" w:eastAsia="sl-SI"/>
        </w:rPr>
        <w:t xml:space="preserve"> started:</w:t>
      </w:r>
    </w:p>
    <w:p w14:paraId="77C628A2" w14:textId="0DC1BE30" w:rsidR="004D19CF" w:rsidRPr="00833419" w:rsidRDefault="0091482E" w:rsidP="0091482E">
      <w:pPr>
        <w:ind w:left="708"/>
        <w:jc w:val="both"/>
        <w:rPr>
          <w:rFonts w:cstheme="minorHAnsi"/>
          <w:i/>
          <w:lang w:val="en-GB"/>
        </w:rPr>
      </w:pPr>
      <w:r w:rsidRPr="00833419">
        <w:rPr>
          <w:rFonts w:cstheme="minorHAnsi"/>
          <w:i/>
          <w:sz w:val="20"/>
          <w:lang w:val="en-GB" w:eastAsia="sl-SI"/>
        </w:rPr>
        <w:t xml:space="preserve">“Under </w:t>
      </w:r>
      <w:r w:rsidRPr="00833419">
        <w:rPr>
          <w:rFonts w:cstheme="minorHAnsi"/>
          <w:i/>
          <w:sz w:val="20"/>
          <w:lang w:val="en-GB"/>
        </w:rPr>
        <w:t xml:space="preserve">the </w:t>
      </w:r>
      <w:r w:rsidRPr="00833419">
        <w:rPr>
          <w:i/>
          <w:sz w:val="20"/>
          <w:lang w:val="en-GB"/>
        </w:rPr>
        <w:t xml:space="preserve">Mediation in Civil and Commercial Matters Act, the allocation of mediators is done by using randomisation, </w:t>
      </w:r>
      <w:proofErr w:type="gramStart"/>
      <w:r w:rsidRPr="00833419">
        <w:rPr>
          <w:i/>
          <w:sz w:val="20"/>
          <w:lang w:val="en-GB"/>
        </w:rPr>
        <w:t>taking into account</w:t>
      </w:r>
      <w:proofErr w:type="gramEnd"/>
      <w:r w:rsidRPr="00833419">
        <w:rPr>
          <w:i/>
          <w:sz w:val="20"/>
          <w:lang w:val="en-GB"/>
        </w:rPr>
        <w:t xml:space="preserve"> the specialisation of mediators. I had a list of mediators, from which </w:t>
      </w:r>
      <w:r w:rsidR="00107386" w:rsidRPr="00833419">
        <w:rPr>
          <w:i/>
          <w:sz w:val="20"/>
          <w:lang w:val="en-GB"/>
        </w:rPr>
        <w:t>I</w:t>
      </w:r>
      <w:r w:rsidRPr="00833419">
        <w:rPr>
          <w:i/>
          <w:sz w:val="20"/>
          <w:lang w:val="en-GB"/>
        </w:rPr>
        <w:t xml:space="preserve"> had to choose the mediators. The informal rule was to assign </w:t>
      </w:r>
      <w:r w:rsidR="00426564" w:rsidRPr="00833419">
        <w:rPr>
          <w:i/>
          <w:sz w:val="20"/>
          <w:lang w:val="en-GB"/>
        </w:rPr>
        <w:t>mediators</w:t>
      </w:r>
      <w:r w:rsidRPr="00833419">
        <w:rPr>
          <w:i/>
          <w:sz w:val="20"/>
          <w:lang w:val="en-GB"/>
        </w:rPr>
        <w:t xml:space="preserve"> alphabetically, except in cases, which required highly specialised knowledge. Here the alphabetical order only served as a criterion to choose among those mediators, possessing the required specialised knowledge. […]”   </w:t>
      </w:r>
    </w:p>
    <w:p w14:paraId="764125A1" w14:textId="19EF1601" w:rsidR="004D19CF" w:rsidRPr="00833419" w:rsidRDefault="0091482E" w:rsidP="00A91FB6">
      <w:pPr>
        <w:jc w:val="both"/>
        <w:rPr>
          <w:rFonts w:cstheme="minorHAnsi"/>
          <w:lang w:val="en-GB" w:eastAsia="sl-SI"/>
        </w:rPr>
      </w:pPr>
      <w:r w:rsidRPr="00833419">
        <w:rPr>
          <w:rFonts w:cstheme="minorHAnsi"/>
          <w:lang w:val="en-GB" w:eastAsia="sl-SI"/>
        </w:rPr>
        <w:t>She attached the scans of documents she has been receiving in her mailbox to the report.</w:t>
      </w:r>
    </w:p>
    <w:p w14:paraId="6921ADA2" w14:textId="35E95797" w:rsidR="0051694F" w:rsidRPr="00833419" w:rsidRDefault="0091482E" w:rsidP="00A91FB6">
      <w:pPr>
        <w:jc w:val="both"/>
        <w:rPr>
          <w:rFonts w:cstheme="minorHAnsi"/>
          <w:lang w:val="en-GB"/>
        </w:rPr>
      </w:pPr>
      <w:r w:rsidRPr="00833419">
        <w:rPr>
          <w:rFonts w:cstheme="minorHAnsi"/>
          <w:lang w:val="en-GB"/>
        </w:rPr>
        <w:t>After three months, the Anti-Corruption Commission notified her, explaining that her case is under scrutiny, but the Commission needs more time due to a high inflow</w:t>
      </w:r>
      <w:r w:rsidR="002679D2">
        <w:rPr>
          <w:rFonts w:cstheme="minorHAnsi"/>
          <w:lang w:val="en-GB"/>
        </w:rPr>
        <w:t xml:space="preserve"> </w:t>
      </w:r>
      <w:r w:rsidRPr="00833419">
        <w:rPr>
          <w:rFonts w:cstheme="minorHAnsi"/>
          <w:lang w:val="en-GB"/>
        </w:rPr>
        <w:t>of reports.</w:t>
      </w:r>
      <w:r w:rsidR="00B777A1" w:rsidRPr="00833419">
        <w:rPr>
          <w:rFonts w:cstheme="minorHAnsi"/>
          <w:lang w:val="en-GB"/>
        </w:rPr>
        <w:t xml:space="preserve"> </w:t>
      </w:r>
      <w:r w:rsidRPr="00833419">
        <w:rPr>
          <w:rFonts w:cstheme="minorHAnsi"/>
          <w:lang w:val="en-GB"/>
        </w:rPr>
        <w:t xml:space="preserve">Another three months passed. She decided to telephone to the Commission. After multiple attempts, she finally managed to reach the person handling her report. The Commission employee rudely explained that the Commission is flooded with reports of alleged </w:t>
      </w:r>
      <w:r w:rsidR="003B4543" w:rsidRPr="00833419">
        <w:rPr>
          <w:rFonts w:cstheme="minorHAnsi"/>
          <w:lang w:val="en-GB"/>
        </w:rPr>
        <w:t>high-profile</w:t>
      </w:r>
      <w:r w:rsidRPr="00833419">
        <w:rPr>
          <w:rFonts w:cstheme="minorHAnsi"/>
          <w:lang w:val="en-GB"/>
        </w:rPr>
        <w:t xml:space="preserve"> corruption and that her complaint cannot be prioritised given the less serious nature of misconduct. The employee could not specify when the case would be </w:t>
      </w:r>
      <w:r w:rsidR="0051694F" w:rsidRPr="00833419">
        <w:rPr>
          <w:rFonts w:cstheme="minorHAnsi"/>
          <w:lang w:val="en-GB"/>
        </w:rPr>
        <w:t xml:space="preserve">examined as this was dependent on the inflow of other reports. </w:t>
      </w:r>
    </w:p>
    <w:p w14:paraId="445AC596" w14:textId="75C35878" w:rsidR="006D622B" w:rsidRPr="00833419" w:rsidRDefault="0051694F" w:rsidP="00A91FB6">
      <w:pPr>
        <w:jc w:val="both"/>
        <w:rPr>
          <w:rFonts w:cstheme="minorHAnsi"/>
          <w:lang w:val="en-GB"/>
        </w:rPr>
      </w:pPr>
      <w:r w:rsidRPr="00833419">
        <w:rPr>
          <w:rFonts w:cstheme="minorHAnsi"/>
          <w:lang w:val="en-GB"/>
        </w:rPr>
        <w:t xml:space="preserve">Ana was disappointed and felt abandoned by the legal system of </w:t>
      </w:r>
      <w:proofErr w:type="spellStart"/>
      <w:r w:rsidRPr="00833419">
        <w:rPr>
          <w:rFonts w:cstheme="minorHAnsi"/>
          <w:lang w:val="en-GB"/>
        </w:rPr>
        <w:t>Yuland</w:t>
      </w:r>
      <w:proofErr w:type="spellEnd"/>
      <w:r w:rsidRPr="00833419">
        <w:rPr>
          <w:rFonts w:cstheme="minorHAnsi"/>
          <w:lang w:val="en-GB"/>
        </w:rPr>
        <w:t xml:space="preserve">. After further reflection, she decided to report the situation to the media. She wrote to the most renewed daily newspaper in </w:t>
      </w:r>
      <w:proofErr w:type="spellStart"/>
      <w:r w:rsidRPr="00833419">
        <w:rPr>
          <w:rFonts w:cstheme="minorHAnsi"/>
          <w:lang w:val="en-GB"/>
        </w:rPr>
        <w:t>Yuland</w:t>
      </w:r>
      <w:proofErr w:type="spellEnd"/>
      <w:r w:rsidRPr="00833419">
        <w:rPr>
          <w:rFonts w:cstheme="minorHAnsi"/>
          <w:lang w:val="en-GB"/>
        </w:rPr>
        <w:t xml:space="preserve">. She met with a journalist, covering the judiciary, and agreed to </w:t>
      </w:r>
      <w:r w:rsidR="0064099F" w:rsidRPr="00833419">
        <w:rPr>
          <w:rFonts w:cstheme="minorHAnsi"/>
          <w:lang w:val="en-GB"/>
        </w:rPr>
        <w:t>report</w:t>
      </w:r>
      <w:r w:rsidR="00B75AC4" w:rsidRPr="00833419">
        <w:rPr>
          <w:rFonts w:cstheme="minorHAnsi"/>
          <w:lang w:val="en-GB"/>
        </w:rPr>
        <w:t xml:space="preserve"> the </w:t>
      </w:r>
      <w:r w:rsidR="0064099F" w:rsidRPr="00833419">
        <w:rPr>
          <w:rFonts w:cstheme="minorHAnsi"/>
          <w:lang w:val="en-GB"/>
        </w:rPr>
        <w:t>practice</w:t>
      </w:r>
      <w:r w:rsidR="00B75AC4" w:rsidRPr="00833419">
        <w:rPr>
          <w:rFonts w:cstheme="minorHAnsi"/>
          <w:lang w:val="en-GB"/>
        </w:rPr>
        <w:t xml:space="preserve">, </w:t>
      </w:r>
      <w:r w:rsidRPr="00833419">
        <w:rPr>
          <w:rFonts w:cstheme="minorHAnsi"/>
          <w:lang w:val="en-GB"/>
        </w:rPr>
        <w:t>provided</w:t>
      </w:r>
      <w:r w:rsidR="003348B7" w:rsidRPr="00833419">
        <w:rPr>
          <w:rFonts w:cstheme="minorHAnsi"/>
          <w:lang w:val="en-GB"/>
        </w:rPr>
        <w:t xml:space="preserve"> she</w:t>
      </w:r>
      <w:r w:rsidRPr="00833419">
        <w:rPr>
          <w:rFonts w:cstheme="minorHAnsi"/>
          <w:lang w:val="en-GB"/>
        </w:rPr>
        <w:t xml:space="preserve"> would be able to use a pseudonym</w:t>
      </w:r>
      <w:r w:rsidR="0064099F" w:rsidRPr="00833419">
        <w:rPr>
          <w:rFonts w:cstheme="minorHAnsi"/>
          <w:lang w:val="en-GB"/>
        </w:rPr>
        <w:t xml:space="preserve">, </w:t>
      </w:r>
      <w:r w:rsidR="006D622B" w:rsidRPr="00833419">
        <w:rPr>
          <w:rFonts w:cstheme="minorHAnsi"/>
          <w:lang w:val="en-GB"/>
        </w:rPr>
        <w:t xml:space="preserve">that she would be allowed to </w:t>
      </w:r>
      <w:r w:rsidR="0064099F" w:rsidRPr="00833419">
        <w:rPr>
          <w:rFonts w:cstheme="minorHAnsi"/>
          <w:lang w:val="en-GB"/>
        </w:rPr>
        <w:t>read and approve the text,</w:t>
      </w:r>
      <w:r w:rsidR="00107386" w:rsidRPr="00833419">
        <w:rPr>
          <w:rFonts w:cstheme="minorHAnsi"/>
          <w:lang w:val="en-GB"/>
        </w:rPr>
        <w:t xml:space="preserve"> before the article is published,</w:t>
      </w:r>
      <w:r w:rsidR="0064099F" w:rsidRPr="00833419">
        <w:rPr>
          <w:rFonts w:cstheme="minorHAnsi"/>
          <w:lang w:val="en-GB"/>
        </w:rPr>
        <w:t xml:space="preserve"> and that the focus will not be on her story but on the </w:t>
      </w:r>
      <w:r w:rsidR="00BE1FF6" w:rsidRPr="00833419">
        <w:rPr>
          <w:rFonts w:cstheme="minorHAnsi"/>
          <w:lang w:val="en-GB"/>
        </w:rPr>
        <w:t>illegal practice.</w:t>
      </w:r>
      <w:r w:rsidR="0064099F" w:rsidRPr="00833419">
        <w:rPr>
          <w:rFonts w:cstheme="minorHAnsi"/>
          <w:lang w:val="en-GB"/>
        </w:rPr>
        <w:t xml:space="preserve"> </w:t>
      </w:r>
    </w:p>
    <w:p w14:paraId="0A955A1F" w14:textId="34E4205D" w:rsidR="00EC5F30" w:rsidRPr="00833419" w:rsidRDefault="006D622B" w:rsidP="00A91FB6">
      <w:pPr>
        <w:jc w:val="both"/>
        <w:rPr>
          <w:rFonts w:cstheme="minorHAnsi"/>
          <w:lang w:val="en-GB"/>
        </w:rPr>
      </w:pPr>
      <w:r w:rsidRPr="00833419">
        <w:rPr>
          <w:rFonts w:cstheme="minorHAnsi"/>
          <w:lang w:val="en-GB"/>
        </w:rPr>
        <w:t xml:space="preserve">On 15 December 2024, the </w:t>
      </w:r>
      <w:r w:rsidR="00B75AC4" w:rsidRPr="00833419">
        <w:rPr>
          <w:rFonts w:cstheme="minorHAnsi"/>
          <w:lang w:val="en-GB"/>
        </w:rPr>
        <w:t>article</w:t>
      </w:r>
      <w:r w:rsidRPr="00833419">
        <w:rPr>
          <w:rFonts w:cstheme="minorHAnsi"/>
          <w:lang w:val="en-GB"/>
        </w:rPr>
        <w:t xml:space="preserve"> entitled “</w:t>
      </w:r>
      <w:r w:rsidR="00B75AC4" w:rsidRPr="00833419">
        <w:rPr>
          <w:rFonts w:cstheme="minorHAnsi"/>
          <w:lang w:val="en-GB"/>
        </w:rPr>
        <w:t xml:space="preserve">Cherry-Picking the Profitable: On Allocation of Mediators in Courts of </w:t>
      </w:r>
      <w:proofErr w:type="spellStart"/>
      <w:r w:rsidR="00B75AC4" w:rsidRPr="00833419">
        <w:rPr>
          <w:rFonts w:cstheme="minorHAnsi"/>
          <w:lang w:val="en-GB"/>
        </w:rPr>
        <w:t>Yuland</w:t>
      </w:r>
      <w:proofErr w:type="spellEnd"/>
      <w:r w:rsidR="00B75AC4" w:rsidRPr="00833419">
        <w:rPr>
          <w:rFonts w:cstheme="minorHAnsi"/>
          <w:lang w:val="en-GB"/>
        </w:rPr>
        <w:t xml:space="preserve">” </w:t>
      </w:r>
      <w:r w:rsidRPr="00833419">
        <w:rPr>
          <w:rFonts w:cstheme="minorHAnsi"/>
          <w:lang w:val="en-GB"/>
        </w:rPr>
        <w:t xml:space="preserve">appeared in the newspaper. </w:t>
      </w:r>
      <w:r w:rsidR="00B75AC4" w:rsidRPr="00833419">
        <w:rPr>
          <w:rFonts w:cstheme="minorHAnsi"/>
          <w:lang w:val="en-GB"/>
        </w:rPr>
        <w:t>The article</w:t>
      </w:r>
      <w:r w:rsidR="00BB6802" w:rsidRPr="00833419">
        <w:rPr>
          <w:rFonts w:cstheme="minorHAnsi"/>
          <w:lang w:val="en-GB"/>
        </w:rPr>
        <w:t xml:space="preserve"> </w:t>
      </w:r>
      <w:r w:rsidR="00B75AC4" w:rsidRPr="00833419">
        <w:rPr>
          <w:rFonts w:cstheme="minorHAnsi"/>
          <w:lang w:val="en-GB"/>
        </w:rPr>
        <w:t>generated further media re</w:t>
      </w:r>
      <w:r w:rsidR="002B3A4F" w:rsidRPr="00833419">
        <w:rPr>
          <w:rFonts w:cstheme="minorHAnsi"/>
          <w:lang w:val="en-GB"/>
        </w:rPr>
        <w:t>porting and many</w:t>
      </w:r>
      <w:r w:rsidR="00B75AC4" w:rsidRPr="00833419">
        <w:rPr>
          <w:rFonts w:cstheme="minorHAnsi"/>
          <w:lang w:val="en-GB"/>
        </w:rPr>
        <w:t xml:space="preserve"> social media </w:t>
      </w:r>
      <w:r w:rsidR="00107386" w:rsidRPr="00833419">
        <w:rPr>
          <w:rFonts w:cstheme="minorHAnsi"/>
          <w:lang w:val="en-GB"/>
        </w:rPr>
        <w:t xml:space="preserve">posts. </w:t>
      </w:r>
      <w:r w:rsidR="00BB6802" w:rsidRPr="00833419">
        <w:rPr>
          <w:rFonts w:cstheme="minorHAnsi"/>
          <w:lang w:val="en-GB"/>
        </w:rPr>
        <w:t>It was written in such way that it was not possible to identify</w:t>
      </w:r>
      <w:r w:rsidR="002B3A4F" w:rsidRPr="00833419">
        <w:rPr>
          <w:rFonts w:cstheme="minorHAnsi"/>
          <w:lang w:val="en-GB"/>
        </w:rPr>
        <w:t xml:space="preserve"> Ana as the source of information.</w:t>
      </w:r>
      <w:r w:rsidR="00BB6802" w:rsidRPr="00833419">
        <w:rPr>
          <w:rFonts w:cstheme="minorHAnsi"/>
          <w:lang w:val="en-GB"/>
        </w:rPr>
        <w:t xml:space="preserve"> </w:t>
      </w:r>
      <w:r w:rsidR="00107386" w:rsidRPr="00833419">
        <w:rPr>
          <w:rFonts w:cstheme="minorHAnsi"/>
          <w:lang w:val="en-GB"/>
        </w:rPr>
        <w:t xml:space="preserve">The article </w:t>
      </w:r>
      <w:r w:rsidR="00106C37" w:rsidRPr="00833419">
        <w:rPr>
          <w:rFonts w:cstheme="minorHAnsi"/>
          <w:lang w:val="en-GB"/>
        </w:rPr>
        <w:t>mention</w:t>
      </w:r>
      <w:r w:rsidR="00EC5F30" w:rsidRPr="00833419">
        <w:rPr>
          <w:rFonts w:cstheme="minorHAnsi"/>
          <w:lang w:val="en-GB"/>
        </w:rPr>
        <w:t>ed</w:t>
      </w:r>
      <w:r w:rsidR="00106C37" w:rsidRPr="00833419">
        <w:rPr>
          <w:rFonts w:cstheme="minorHAnsi"/>
          <w:lang w:val="en-GB"/>
        </w:rPr>
        <w:t xml:space="preserve"> the names and professions of</w:t>
      </w:r>
      <w:r w:rsidR="003A4D7E" w:rsidRPr="00833419">
        <w:rPr>
          <w:rFonts w:cstheme="minorHAnsi"/>
          <w:lang w:val="en-GB"/>
        </w:rPr>
        <w:t xml:space="preserve"> mediators concerned</w:t>
      </w:r>
      <w:r w:rsidR="00107386" w:rsidRPr="00833419">
        <w:rPr>
          <w:rFonts w:cstheme="minorHAnsi"/>
          <w:lang w:val="en-GB"/>
        </w:rPr>
        <w:t>.</w:t>
      </w:r>
      <w:r w:rsidR="00106C37" w:rsidRPr="00833419">
        <w:rPr>
          <w:rFonts w:cstheme="minorHAnsi"/>
          <w:lang w:val="en-GB"/>
        </w:rPr>
        <w:t xml:space="preserve"> Ana decided to reveal these, as she felt it would have been unfair to cast a bad light on all mediators and mediation as a</w:t>
      </w:r>
      <w:r w:rsidR="001D15A2" w:rsidRPr="00833419">
        <w:rPr>
          <w:rFonts w:cstheme="minorHAnsi"/>
          <w:lang w:val="en-GB"/>
        </w:rPr>
        <w:t>n</w:t>
      </w:r>
      <w:r w:rsidR="00106C37" w:rsidRPr="00833419">
        <w:rPr>
          <w:rFonts w:cstheme="minorHAnsi"/>
          <w:lang w:val="en-GB"/>
        </w:rPr>
        <w:t xml:space="preserve"> ADR measure, due to illegal enterprise of the few.</w:t>
      </w:r>
      <w:r w:rsidR="001105E8" w:rsidRPr="00833419">
        <w:rPr>
          <w:rFonts w:cstheme="minorHAnsi"/>
          <w:lang w:val="en-GB"/>
        </w:rPr>
        <w:t xml:space="preserve"> </w:t>
      </w:r>
      <w:r w:rsidR="00EC5F30" w:rsidRPr="00833419">
        <w:rPr>
          <w:rFonts w:cstheme="minorHAnsi"/>
          <w:lang w:val="en-GB"/>
        </w:rPr>
        <w:t xml:space="preserve">Even though the article did not mention the exact District Court, Ana was aware that the president of </w:t>
      </w:r>
      <w:proofErr w:type="spellStart"/>
      <w:r w:rsidR="00EC5F30" w:rsidRPr="00833419">
        <w:rPr>
          <w:rFonts w:cstheme="minorHAnsi"/>
          <w:lang w:val="en-GB"/>
        </w:rPr>
        <w:t>Justville</w:t>
      </w:r>
      <w:proofErr w:type="spellEnd"/>
      <w:r w:rsidR="00EC5F30" w:rsidRPr="00833419">
        <w:rPr>
          <w:rFonts w:cstheme="minorHAnsi"/>
          <w:lang w:val="en-GB"/>
        </w:rPr>
        <w:t xml:space="preserve"> District court will check the allocation at her court and will quickly realise that the illegal practice took place there.  </w:t>
      </w:r>
    </w:p>
    <w:p w14:paraId="359655A7" w14:textId="26B10887" w:rsidR="00EC5F30" w:rsidRPr="00833419" w:rsidRDefault="00D0240A" w:rsidP="00D0240A">
      <w:pPr>
        <w:jc w:val="both"/>
        <w:rPr>
          <w:rFonts w:cstheme="minorHAnsi"/>
          <w:lang w:val="en-GB"/>
        </w:rPr>
      </w:pPr>
      <w:r w:rsidRPr="00833419">
        <w:rPr>
          <w:rFonts w:cstheme="minorHAnsi"/>
          <w:lang w:val="en-GB"/>
        </w:rPr>
        <w:t xml:space="preserve">President of the </w:t>
      </w:r>
      <w:proofErr w:type="spellStart"/>
      <w:r w:rsidRPr="00833419">
        <w:rPr>
          <w:rFonts w:cstheme="minorHAnsi"/>
          <w:lang w:val="en-GB"/>
        </w:rPr>
        <w:t>Justville</w:t>
      </w:r>
      <w:proofErr w:type="spellEnd"/>
      <w:r w:rsidRPr="00833419">
        <w:rPr>
          <w:rFonts w:cstheme="minorHAnsi"/>
          <w:lang w:val="en-GB"/>
        </w:rPr>
        <w:t xml:space="preserve"> District Court</w:t>
      </w:r>
      <w:r w:rsidR="00EC5F30" w:rsidRPr="00833419">
        <w:rPr>
          <w:rFonts w:cstheme="minorHAnsi"/>
          <w:lang w:val="en-GB"/>
        </w:rPr>
        <w:t xml:space="preserve"> summoned Ana to her office the next day, on 16 December. Ana told her the whole story. The president of the court was upset as she knew the media will soon find out about the court and swarm her with questions and requests for </w:t>
      </w:r>
      <w:r w:rsidR="00BB6802" w:rsidRPr="00833419">
        <w:rPr>
          <w:rFonts w:cstheme="minorHAnsi"/>
          <w:lang w:val="en-GB"/>
        </w:rPr>
        <w:t>explanations</w:t>
      </w:r>
      <w:r w:rsidR="00EC5F30" w:rsidRPr="00833419">
        <w:rPr>
          <w:rFonts w:cstheme="minorHAnsi"/>
          <w:lang w:val="en-GB"/>
        </w:rPr>
        <w:t>. She wanted to know why Ana did no</w:t>
      </w:r>
      <w:r w:rsidR="00BB6802" w:rsidRPr="00833419">
        <w:rPr>
          <w:rFonts w:cstheme="minorHAnsi"/>
          <w:lang w:val="en-GB"/>
        </w:rPr>
        <w:t xml:space="preserve">t report the affair internally. Ana explained that she did not know who was involved in the illegal practice and wanted to avoid retaliation. The president insisted that the right way </w:t>
      </w:r>
      <w:r w:rsidR="002B3A4F" w:rsidRPr="00833419">
        <w:rPr>
          <w:rFonts w:cstheme="minorHAnsi"/>
          <w:lang w:val="en-GB"/>
        </w:rPr>
        <w:t xml:space="preserve">to proceed </w:t>
      </w:r>
      <w:r w:rsidR="00BB6802" w:rsidRPr="00833419">
        <w:rPr>
          <w:rFonts w:cstheme="minorHAnsi"/>
          <w:lang w:val="en-GB"/>
        </w:rPr>
        <w:t>would be to</w:t>
      </w:r>
      <w:r w:rsidR="002B3A4F" w:rsidRPr="00833419">
        <w:rPr>
          <w:rFonts w:cstheme="minorHAnsi"/>
          <w:lang w:val="en-GB"/>
        </w:rPr>
        <w:t xml:space="preserve"> talk to her, her secretary (a specially designated person for internal reporting) or somebody else from the court, and</w:t>
      </w:r>
      <w:r w:rsidR="00BB6802" w:rsidRPr="00833419">
        <w:rPr>
          <w:rFonts w:cstheme="minorHAnsi"/>
          <w:lang w:val="en-GB"/>
        </w:rPr>
        <w:t xml:space="preserve"> that she should have thought of the </w:t>
      </w:r>
      <w:r w:rsidR="002B3A4F" w:rsidRPr="00833419">
        <w:rPr>
          <w:rFonts w:cstheme="minorHAnsi"/>
          <w:lang w:val="en-GB"/>
        </w:rPr>
        <w:t>public trust</w:t>
      </w:r>
      <w:r w:rsidR="00BB6802" w:rsidRPr="00833419">
        <w:rPr>
          <w:rFonts w:cstheme="minorHAnsi"/>
          <w:lang w:val="en-GB"/>
        </w:rPr>
        <w:t xml:space="preserve"> in the judiciary, which will significantly deteriorate due to her</w:t>
      </w:r>
      <w:r w:rsidR="002B3A4F" w:rsidRPr="00833419">
        <w:rPr>
          <w:rFonts w:cstheme="minorHAnsi"/>
          <w:lang w:val="en-GB"/>
        </w:rPr>
        <w:t xml:space="preserve"> reckless behaviour</w:t>
      </w:r>
      <w:r w:rsidR="00BB6802" w:rsidRPr="00833419">
        <w:rPr>
          <w:rFonts w:cstheme="minorHAnsi"/>
          <w:lang w:val="en-GB"/>
        </w:rPr>
        <w:t xml:space="preserve">. Ana disagreed and explained this was the only way </w:t>
      </w:r>
      <w:r w:rsidR="001719C0" w:rsidRPr="00833419">
        <w:rPr>
          <w:rFonts w:cstheme="minorHAnsi"/>
          <w:lang w:val="en-GB"/>
        </w:rPr>
        <w:t>for her to</w:t>
      </w:r>
      <w:r w:rsidR="00BB6802" w:rsidRPr="00833419">
        <w:rPr>
          <w:rFonts w:cstheme="minorHAnsi"/>
          <w:lang w:val="en-GB"/>
        </w:rPr>
        <w:t xml:space="preserve"> avoid being potentially prosecuted </w:t>
      </w:r>
      <w:r w:rsidR="002676FE" w:rsidRPr="00833419">
        <w:rPr>
          <w:rFonts w:cstheme="minorHAnsi"/>
          <w:lang w:val="en-GB"/>
        </w:rPr>
        <w:t>for corruption.</w:t>
      </w:r>
      <w:r w:rsidR="004105D9" w:rsidRPr="00833419">
        <w:rPr>
          <w:rFonts w:cstheme="minorHAnsi"/>
          <w:lang w:val="en-GB"/>
        </w:rPr>
        <w:t xml:space="preserve"> The president of the court did not want to hear anything from Ana and finished the conversation with: “Well, good luck, hero!” Ana slammed the door and ran to her office.</w:t>
      </w:r>
    </w:p>
    <w:p w14:paraId="6D3D0BBB" w14:textId="69B666F5" w:rsidR="003E01A2" w:rsidRPr="00833419" w:rsidRDefault="001719C0" w:rsidP="00D0240A">
      <w:pPr>
        <w:jc w:val="both"/>
        <w:rPr>
          <w:rFonts w:cstheme="minorHAnsi"/>
          <w:bCs/>
          <w:color w:val="000000"/>
          <w:szCs w:val="19"/>
          <w:lang w:val="en-GB"/>
        </w:rPr>
      </w:pPr>
      <w:r w:rsidRPr="00833419">
        <w:rPr>
          <w:rFonts w:cstheme="minorHAnsi"/>
          <w:lang w:val="en-GB"/>
        </w:rPr>
        <w:lastRenderedPageBreak/>
        <w:t xml:space="preserve">Ana has been going through tough times at the </w:t>
      </w:r>
      <w:proofErr w:type="spellStart"/>
      <w:r w:rsidRPr="00833419">
        <w:rPr>
          <w:rFonts w:cstheme="minorHAnsi"/>
          <w:lang w:val="en-GB"/>
        </w:rPr>
        <w:t>Justville</w:t>
      </w:r>
      <w:proofErr w:type="spellEnd"/>
      <w:r w:rsidRPr="00833419">
        <w:rPr>
          <w:rFonts w:cstheme="minorHAnsi"/>
          <w:lang w:val="en-GB"/>
        </w:rPr>
        <w:t xml:space="preserve"> District Court. The president and some other colleague</w:t>
      </w:r>
      <w:r w:rsidR="003208E1" w:rsidRPr="00833419">
        <w:rPr>
          <w:rFonts w:cstheme="minorHAnsi"/>
          <w:lang w:val="en-GB"/>
        </w:rPr>
        <w:t>s did not want to talk to her and</w:t>
      </w:r>
      <w:r w:rsidRPr="00833419">
        <w:rPr>
          <w:rFonts w:cstheme="minorHAnsi"/>
          <w:lang w:val="en-GB"/>
        </w:rPr>
        <w:t xml:space="preserve"> gave her the impression that her presence </w:t>
      </w:r>
      <w:r w:rsidR="00BE1FF6" w:rsidRPr="00833419">
        <w:rPr>
          <w:rFonts w:cstheme="minorHAnsi"/>
          <w:lang w:val="en-GB"/>
        </w:rPr>
        <w:t>was</w:t>
      </w:r>
      <w:r w:rsidRPr="00833419">
        <w:rPr>
          <w:rFonts w:cstheme="minorHAnsi"/>
          <w:lang w:val="en-GB"/>
        </w:rPr>
        <w:t xml:space="preserve"> </w:t>
      </w:r>
      <w:r w:rsidR="00BE1FF6" w:rsidRPr="00833419">
        <w:rPr>
          <w:rFonts w:cstheme="minorHAnsi"/>
          <w:lang w:val="en-GB"/>
        </w:rPr>
        <w:t>und</w:t>
      </w:r>
      <w:r w:rsidRPr="00833419">
        <w:rPr>
          <w:rFonts w:cstheme="minorHAnsi"/>
          <w:lang w:val="en-GB"/>
        </w:rPr>
        <w:t xml:space="preserve">esirable. </w:t>
      </w:r>
    </w:p>
    <w:p w14:paraId="2B15EF49" w14:textId="77777777" w:rsidR="000109CA" w:rsidRDefault="003E01A2" w:rsidP="00D0240A">
      <w:pPr>
        <w:jc w:val="both"/>
        <w:rPr>
          <w:rFonts w:cstheme="minorHAnsi"/>
          <w:bCs/>
          <w:color w:val="000000"/>
          <w:szCs w:val="19"/>
          <w:lang w:val="en-GB"/>
        </w:rPr>
      </w:pPr>
      <w:r w:rsidRPr="00833419">
        <w:rPr>
          <w:rFonts w:cstheme="minorHAnsi"/>
          <w:bCs/>
          <w:color w:val="000000"/>
          <w:szCs w:val="19"/>
          <w:lang w:val="en-GB"/>
        </w:rPr>
        <w:t xml:space="preserve">The president of the court decided to initiate disciplinary proceedings against Ana before Public Sector Disciplinary </w:t>
      </w:r>
      <w:r w:rsidR="00C745A0" w:rsidRPr="00833419">
        <w:rPr>
          <w:rFonts w:cstheme="minorHAnsi"/>
          <w:bCs/>
          <w:color w:val="000000"/>
          <w:szCs w:val="19"/>
          <w:lang w:val="en-GB"/>
        </w:rPr>
        <w:t>Court</w:t>
      </w:r>
      <w:r w:rsidR="00C61CEC" w:rsidRPr="00833419">
        <w:rPr>
          <w:rFonts w:cstheme="minorHAnsi"/>
          <w:bCs/>
          <w:color w:val="000000"/>
          <w:szCs w:val="19"/>
          <w:lang w:val="en-GB"/>
        </w:rPr>
        <w:t xml:space="preserve"> </w:t>
      </w:r>
      <w:r w:rsidRPr="00833419">
        <w:rPr>
          <w:rFonts w:cstheme="minorHAnsi"/>
          <w:bCs/>
          <w:color w:val="000000"/>
          <w:szCs w:val="19"/>
          <w:lang w:val="en-GB"/>
        </w:rPr>
        <w:t xml:space="preserve">for </w:t>
      </w:r>
      <w:r w:rsidR="00445FF5" w:rsidRPr="00833419">
        <w:rPr>
          <w:rFonts w:cstheme="minorHAnsi"/>
          <w:bCs/>
          <w:color w:val="000000"/>
          <w:szCs w:val="19"/>
          <w:lang w:val="en-GB"/>
        </w:rPr>
        <w:t>“</w:t>
      </w:r>
      <w:r w:rsidRPr="00833419">
        <w:rPr>
          <w:rFonts w:cstheme="minorHAnsi"/>
          <w:bCs/>
          <w:color w:val="000000"/>
          <w:szCs w:val="19"/>
          <w:lang w:val="en-GB"/>
        </w:rPr>
        <w:t>diminishing the public trust in the judiciary</w:t>
      </w:r>
      <w:r w:rsidR="00445FF5" w:rsidRPr="00833419">
        <w:rPr>
          <w:rFonts w:cstheme="minorHAnsi"/>
          <w:bCs/>
          <w:color w:val="000000"/>
          <w:szCs w:val="19"/>
          <w:lang w:val="en-GB"/>
        </w:rPr>
        <w:t>”</w:t>
      </w:r>
      <w:r w:rsidRPr="00833419">
        <w:rPr>
          <w:rFonts w:cstheme="minorHAnsi"/>
          <w:bCs/>
          <w:color w:val="000000"/>
          <w:szCs w:val="19"/>
          <w:lang w:val="en-GB"/>
        </w:rPr>
        <w:t>. The president argued that Ana should have reported the affair internally, and that there was no reason to report it to the media. The president felt that the disciplinary proceedings are necessary to prevent further deterioration of public image of the judiciary</w:t>
      </w:r>
      <w:r w:rsidR="00445FF5" w:rsidRPr="00833419">
        <w:rPr>
          <w:rFonts w:cstheme="minorHAnsi"/>
          <w:bCs/>
          <w:color w:val="000000"/>
          <w:szCs w:val="19"/>
          <w:lang w:val="en-GB"/>
        </w:rPr>
        <w:t xml:space="preserve"> by potential future careless “w</w:t>
      </w:r>
      <w:r w:rsidR="00C61CEC" w:rsidRPr="00833419">
        <w:rPr>
          <w:rFonts w:cstheme="minorHAnsi"/>
          <w:bCs/>
          <w:color w:val="000000"/>
          <w:szCs w:val="19"/>
          <w:lang w:val="en-GB"/>
        </w:rPr>
        <w:t xml:space="preserve">histleblowers”. Public Sector Disciplinary </w:t>
      </w:r>
      <w:r w:rsidR="00C745A0" w:rsidRPr="00833419">
        <w:rPr>
          <w:rFonts w:cstheme="minorHAnsi"/>
          <w:bCs/>
          <w:color w:val="000000"/>
          <w:szCs w:val="19"/>
          <w:lang w:val="en-GB"/>
        </w:rPr>
        <w:t>Court</w:t>
      </w:r>
      <w:r w:rsidR="00C61CEC" w:rsidRPr="00833419">
        <w:rPr>
          <w:rFonts w:cstheme="minorHAnsi"/>
          <w:bCs/>
          <w:color w:val="000000"/>
          <w:szCs w:val="19"/>
          <w:lang w:val="en-GB"/>
        </w:rPr>
        <w:t xml:space="preserve"> agreed with the court p</w:t>
      </w:r>
      <w:r w:rsidR="003208E1" w:rsidRPr="00833419">
        <w:rPr>
          <w:rFonts w:cstheme="minorHAnsi"/>
          <w:bCs/>
          <w:color w:val="000000"/>
          <w:szCs w:val="19"/>
          <w:lang w:val="en-GB"/>
        </w:rPr>
        <w:t>resident and imposed a 3-mo</w:t>
      </w:r>
      <w:r w:rsidR="007620C3">
        <w:rPr>
          <w:rFonts w:cstheme="minorHAnsi"/>
          <w:bCs/>
          <w:color w:val="000000"/>
          <w:szCs w:val="19"/>
          <w:lang w:val="en-GB"/>
        </w:rPr>
        <w:t>n</w:t>
      </w:r>
      <w:r w:rsidR="003208E1" w:rsidRPr="00833419">
        <w:rPr>
          <w:rFonts w:cstheme="minorHAnsi"/>
          <w:bCs/>
          <w:color w:val="000000"/>
          <w:szCs w:val="19"/>
          <w:lang w:val="en-GB"/>
        </w:rPr>
        <w:t>th 20</w:t>
      </w:r>
      <w:r w:rsidR="00C61CEC" w:rsidRPr="00833419">
        <w:rPr>
          <w:rFonts w:cstheme="minorHAnsi"/>
          <w:bCs/>
          <w:color w:val="000000"/>
          <w:szCs w:val="19"/>
          <w:lang w:val="en-GB"/>
        </w:rPr>
        <w:t xml:space="preserve">% salary decrease. </w:t>
      </w:r>
      <w:r w:rsidR="003208E1" w:rsidRPr="00833419">
        <w:rPr>
          <w:rFonts w:cstheme="minorHAnsi"/>
          <w:bCs/>
          <w:color w:val="000000"/>
          <w:szCs w:val="19"/>
          <w:lang w:val="en-GB"/>
        </w:rPr>
        <w:t xml:space="preserve">Ana appealed to the Supreme Court of </w:t>
      </w:r>
      <w:proofErr w:type="spellStart"/>
      <w:r w:rsidR="003208E1" w:rsidRPr="00833419">
        <w:rPr>
          <w:rFonts w:cstheme="minorHAnsi"/>
          <w:bCs/>
          <w:color w:val="000000"/>
          <w:szCs w:val="19"/>
          <w:lang w:val="en-GB"/>
        </w:rPr>
        <w:t>Yuland</w:t>
      </w:r>
      <w:proofErr w:type="spellEnd"/>
      <w:r w:rsidR="003208E1" w:rsidRPr="00833419">
        <w:rPr>
          <w:rFonts w:cstheme="minorHAnsi"/>
          <w:bCs/>
          <w:color w:val="000000"/>
          <w:szCs w:val="19"/>
          <w:lang w:val="en-GB"/>
        </w:rPr>
        <w:t xml:space="preserve">, claiming that </w:t>
      </w:r>
      <w:r w:rsidR="000D572D" w:rsidRPr="00833419">
        <w:rPr>
          <w:rFonts w:cstheme="minorHAnsi"/>
          <w:bCs/>
          <w:color w:val="000000"/>
          <w:szCs w:val="19"/>
          <w:lang w:val="en-GB"/>
        </w:rPr>
        <w:t xml:space="preserve">the procedure itself and the sanction constituted an unlawful reprisal under the Whistleblowers protection Act and was contrary to Article 31 of the Charter of Fundamental Rights of the EU. </w:t>
      </w:r>
      <w:r w:rsidR="00C41962" w:rsidRPr="00833419">
        <w:rPr>
          <w:rFonts w:cstheme="minorHAnsi"/>
          <w:bCs/>
          <w:color w:val="000000"/>
          <w:szCs w:val="19"/>
          <w:lang w:val="en-GB"/>
        </w:rPr>
        <w:t>Relying on Article 41 of the Charter, s</w:t>
      </w:r>
      <w:r w:rsidR="000D572D" w:rsidRPr="00833419">
        <w:rPr>
          <w:rFonts w:cstheme="minorHAnsi"/>
          <w:bCs/>
          <w:color w:val="000000"/>
          <w:szCs w:val="19"/>
          <w:lang w:val="en-GB"/>
        </w:rPr>
        <w:t>he also argued she was not able to present her views before the disciplinary procedure was initiated</w:t>
      </w:r>
      <w:r w:rsidR="00C41962" w:rsidRPr="00833419">
        <w:rPr>
          <w:rFonts w:cstheme="minorHAnsi"/>
          <w:bCs/>
          <w:color w:val="000000"/>
          <w:szCs w:val="19"/>
          <w:lang w:val="en-GB"/>
        </w:rPr>
        <w:t xml:space="preserve"> and</w:t>
      </w:r>
      <w:r w:rsidR="000D572D" w:rsidRPr="00833419">
        <w:rPr>
          <w:rFonts w:cstheme="minorHAnsi"/>
          <w:bCs/>
          <w:color w:val="000000"/>
          <w:szCs w:val="19"/>
          <w:lang w:val="en-GB"/>
        </w:rPr>
        <w:t xml:space="preserve"> that the Public Sector Disciplinary </w:t>
      </w:r>
      <w:r w:rsidR="00C745A0" w:rsidRPr="00833419">
        <w:rPr>
          <w:rFonts w:cstheme="minorHAnsi"/>
          <w:bCs/>
          <w:color w:val="000000"/>
          <w:szCs w:val="19"/>
          <w:lang w:val="en-GB"/>
        </w:rPr>
        <w:t>Court</w:t>
      </w:r>
      <w:r w:rsidR="00445FF5" w:rsidRPr="00833419">
        <w:rPr>
          <w:rFonts w:cstheme="minorHAnsi"/>
          <w:bCs/>
          <w:color w:val="000000"/>
          <w:szCs w:val="19"/>
          <w:lang w:val="en-GB"/>
        </w:rPr>
        <w:t xml:space="preserve"> merely reiterated the arguments adduced by the court president and summarily rejected her claims</w:t>
      </w:r>
      <w:r w:rsidR="00F15D6F" w:rsidRPr="00833419">
        <w:rPr>
          <w:rFonts w:cstheme="minorHAnsi"/>
          <w:bCs/>
          <w:color w:val="000000"/>
          <w:szCs w:val="19"/>
          <w:lang w:val="en-GB"/>
        </w:rPr>
        <w:t xml:space="preserve"> without a</w:t>
      </w:r>
      <w:r w:rsidR="00C745A0" w:rsidRPr="00833419">
        <w:rPr>
          <w:rFonts w:cstheme="minorHAnsi"/>
          <w:bCs/>
          <w:color w:val="000000"/>
          <w:szCs w:val="19"/>
          <w:lang w:val="en-GB"/>
        </w:rPr>
        <w:t>ny</w:t>
      </w:r>
      <w:r w:rsidR="00F15D6F" w:rsidRPr="00833419">
        <w:rPr>
          <w:rFonts w:cstheme="minorHAnsi"/>
          <w:bCs/>
          <w:color w:val="000000"/>
          <w:szCs w:val="19"/>
          <w:lang w:val="en-GB"/>
        </w:rPr>
        <w:t xml:space="preserve"> real consideration.</w:t>
      </w:r>
      <w:r w:rsidR="00B13676">
        <w:rPr>
          <w:rFonts w:cstheme="minorHAnsi"/>
          <w:bCs/>
          <w:color w:val="000000"/>
          <w:szCs w:val="19"/>
          <w:lang w:val="en-GB"/>
        </w:rPr>
        <w:t xml:space="preserve"> </w:t>
      </w:r>
    </w:p>
    <w:p w14:paraId="065CFF90" w14:textId="11B6EA7B" w:rsidR="000D572D" w:rsidRPr="00833419" w:rsidRDefault="000109CA" w:rsidP="00D0240A">
      <w:pPr>
        <w:jc w:val="both"/>
        <w:rPr>
          <w:rFonts w:cstheme="minorHAnsi"/>
          <w:bCs/>
          <w:color w:val="000000"/>
          <w:szCs w:val="19"/>
          <w:lang w:val="en-GB"/>
        </w:rPr>
      </w:pPr>
      <w:r>
        <w:rPr>
          <w:rFonts w:cstheme="minorHAnsi"/>
          <w:bCs/>
          <w:color w:val="000000"/>
          <w:szCs w:val="19"/>
          <w:lang w:val="en-GB"/>
        </w:rPr>
        <w:t xml:space="preserve">Imagine you are a judge of the </w:t>
      </w:r>
      <w:r w:rsidR="00B13676" w:rsidRPr="00833419">
        <w:rPr>
          <w:rFonts w:cstheme="minorHAnsi"/>
          <w:bCs/>
          <w:color w:val="000000"/>
          <w:szCs w:val="19"/>
          <w:lang w:val="en-GB"/>
        </w:rPr>
        <w:t xml:space="preserve">Supreme Court of </w:t>
      </w:r>
      <w:proofErr w:type="spellStart"/>
      <w:r w:rsidR="00B13676" w:rsidRPr="00833419">
        <w:rPr>
          <w:rFonts w:cstheme="minorHAnsi"/>
          <w:bCs/>
          <w:color w:val="000000"/>
          <w:szCs w:val="19"/>
          <w:lang w:val="en-GB"/>
        </w:rPr>
        <w:t>Yuland</w:t>
      </w:r>
      <w:proofErr w:type="spellEnd"/>
      <w:r>
        <w:rPr>
          <w:rFonts w:cstheme="minorHAnsi"/>
          <w:bCs/>
          <w:color w:val="000000"/>
          <w:szCs w:val="19"/>
          <w:lang w:val="en-GB"/>
        </w:rPr>
        <w:t>, hearing Ana’s case</w:t>
      </w:r>
      <w:r w:rsidR="00907A92">
        <w:rPr>
          <w:rFonts w:cstheme="minorHAnsi"/>
          <w:bCs/>
          <w:color w:val="000000"/>
          <w:szCs w:val="19"/>
          <w:lang w:val="en-GB"/>
        </w:rPr>
        <w:t>.</w:t>
      </w:r>
    </w:p>
    <w:p w14:paraId="27E8AA1E" w14:textId="7DD43E6F" w:rsidR="00445FF5" w:rsidRPr="00833419" w:rsidRDefault="00445FF5" w:rsidP="00EB21EB">
      <w:pPr>
        <w:jc w:val="both"/>
        <w:rPr>
          <w:rFonts w:cstheme="minorHAnsi"/>
          <w:bCs/>
          <w:color w:val="000000"/>
          <w:szCs w:val="19"/>
          <w:lang w:val="en-GB"/>
        </w:rPr>
      </w:pPr>
      <w:r w:rsidRPr="00833419">
        <w:rPr>
          <w:rFonts w:cstheme="minorHAnsi"/>
          <w:bCs/>
          <w:color w:val="000000"/>
          <w:szCs w:val="19"/>
          <w:lang w:val="en-GB"/>
        </w:rPr>
        <w:t>Questions:</w:t>
      </w:r>
    </w:p>
    <w:p w14:paraId="20300AE6" w14:textId="16C89A28" w:rsidR="00907A92" w:rsidRDefault="00445FF5" w:rsidP="002E2F01">
      <w:pPr>
        <w:pStyle w:val="Odstavekseznama"/>
        <w:numPr>
          <w:ilvl w:val="0"/>
          <w:numId w:val="12"/>
        </w:numPr>
        <w:jc w:val="both"/>
        <w:rPr>
          <w:rFonts w:cstheme="minorHAnsi"/>
          <w:bCs/>
          <w:color w:val="000000"/>
          <w:szCs w:val="19"/>
          <w:lang w:val="en-GB"/>
        </w:rPr>
      </w:pPr>
      <w:r w:rsidRPr="00833419">
        <w:rPr>
          <w:rFonts w:cstheme="minorHAnsi"/>
          <w:bCs/>
          <w:color w:val="000000"/>
          <w:szCs w:val="19"/>
          <w:lang w:val="en-GB"/>
        </w:rPr>
        <w:t>Does Ana qualify as Whistleblower under Article 6(1) of the Whistleblower Protection Act?</w:t>
      </w:r>
      <w:r w:rsidR="00D727FD" w:rsidRPr="00833419">
        <w:rPr>
          <w:rFonts w:cstheme="minorHAnsi"/>
          <w:bCs/>
          <w:color w:val="000000"/>
          <w:szCs w:val="19"/>
          <w:lang w:val="en-GB"/>
        </w:rPr>
        <w:t xml:space="preserve"> If Ana were a judge, would she qualify as</w:t>
      </w:r>
      <w:r w:rsidRPr="00833419">
        <w:rPr>
          <w:rFonts w:cstheme="minorHAnsi"/>
          <w:bCs/>
          <w:color w:val="000000"/>
          <w:szCs w:val="19"/>
          <w:lang w:val="en-GB"/>
        </w:rPr>
        <w:t xml:space="preserve"> </w:t>
      </w:r>
      <w:r w:rsidR="00D727FD" w:rsidRPr="00833419">
        <w:rPr>
          <w:rFonts w:cstheme="minorHAnsi"/>
          <w:bCs/>
          <w:color w:val="000000"/>
          <w:szCs w:val="19"/>
          <w:lang w:val="en-GB"/>
        </w:rPr>
        <w:t xml:space="preserve">Whistleblower under Article 6(1) of the Whistleblower Protection Act? What about under Article </w:t>
      </w:r>
      <w:r w:rsidR="0091675F" w:rsidRPr="00833419">
        <w:rPr>
          <w:rFonts w:cstheme="minorHAnsi"/>
          <w:bCs/>
          <w:color w:val="000000"/>
          <w:szCs w:val="19"/>
          <w:lang w:val="en-GB"/>
        </w:rPr>
        <w:t>4 of Directive (EU) 2019/1937 of the European Parliament and of the Council of 23 October 2019 on the protection of persons who report breaches of Union law (the Whistleblower Directive)?</w:t>
      </w:r>
      <w:r w:rsidR="00B14EC0" w:rsidRPr="00833419">
        <w:rPr>
          <w:rFonts w:cstheme="minorHAnsi"/>
          <w:bCs/>
          <w:color w:val="000000"/>
          <w:szCs w:val="19"/>
          <w:lang w:val="en-GB"/>
        </w:rPr>
        <w:t xml:space="preserve"> In your country, do judges qualify as whistleblowers under the legislation, transposing the Whistleblower’s directive? </w:t>
      </w:r>
    </w:p>
    <w:p w14:paraId="5F70D1F8" w14:textId="77777777" w:rsidR="002E2F01" w:rsidRPr="002E2F01" w:rsidRDefault="002E2F01" w:rsidP="002E2F01">
      <w:pPr>
        <w:pStyle w:val="Odstavekseznama"/>
        <w:jc w:val="both"/>
        <w:rPr>
          <w:rFonts w:cstheme="minorHAnsi"/>
          <w:bCs/>
          <w:color w:val="000000"/>
          <w:szCs w:val="19"/>
          <w:lang w:val="en-GB"/>
        </w:rPr>
      </w:pPr>
    </w:p>
    <w:p w14:paraId="3BD1053A" w14:textId="60E91A30" w:rsidR="002E2F01" w:rsidRPr="002E2F01" w:rsidRDefault="00445FF5" w:rsidP="002E2F01">
      <w:pPr>
        <w:pStyle w:val="Odstavekseznama"/>
        <w:numPr>
          <w:ilvl w:val="0"/>
          <w:numId w:val="12"/>
        </w:numPr>
        <w:jc w:val="both"/>
        <w:rPr>
          <w:rFonts w:cstheme="minorHAnsi"/>
          <w:bCs/>
          <w:color w:val="000000"/>
          <w:szCs w:val="19"/>
          <w:lang w:val="en-GB"/>
        </w:rPr>
      </w:pPr>
      <w:r w:rsidRPr="00833419">
        <w:rPr>
          <w:rFonts w:cstheme="minorHAnsi"/>
          <w:lang w:val="en-GB"/>
        </w:rPr>
        <w:t xml:space="preserve">Did the measures taken in the aftermath of the publication of the article in the newspaper constitute reprisals under Article 19 of the Whistleblower Protection Act? Discuss each measure. </w:t>
      </w:r>
    </w:p>
    <w:p w14:paraId="3C3AEE34" w14:textId="77777777" w:rsidR="002E2F01" w:rsidRPr="002E2F01" w:rsidRDefault="002E2F01" w:rsidP="002E2F01">
      <w:pPr>
        <w:pStyle w:val="Odstavekseznama"/>
        <w:jc w:val="both"/>
        <w:rPr>
          <w:rFonts w:cstheme="minorHAnsi"/>
          <w:bCs/>
          <w:color w:val="000000"/>
          <w:szCs w:val="19"/>
          <w:lang w:val="en-GB"/>
        </w:rPr>
      </w:pPr>
    </w:p>
    <w:p w14:paraId="3CC975F7" w14:textId="28CEB2C5" w:rsidR="002E2F01" w:rsidRPr="002E2F01" w:rsidRDefault="0065599A" w:rsidP="002E2F01">
      <w:pPr>
        <w:pStyle w:val="Odstavekseznama"/>
        <w:numPr>
          <w:ilvl w:val="0"/>
          <w:numId w:val="12"/>
        </w:numPr>
        <w:jc w:val="both"/>
        <w:rPr>
          <w:rFonts w:eastAsia="Times New Roman" w:cstheme="minorHAnsi"/>
          <w:lang w:val="en-GB" w:eastAsia="sl-SI"/>
        </w:rPr>
      </w:pPr>
      <w:r w:rsidRPr="00833419">
        <w:rPr>
          <w:rFonts w:cstheme="minorHAnsi"/>
          <w:lang w:val="en-GB"/>
        </w:rPr>
        <w:t xml:space="preserve">Ana claims that </w:t>
      </w:r>
      <w:r w:rsidR="00921A97" w:rsidRPr="00833419">
        <w:rPr>
          <w:rFonts w:cstheme="minorHAnsi"/>
          <w:lang w:val="en-GB"/>
        </w:rPr>
        <w:t xml:space="preserve">she had </w:t>
      </w:r>
      <w:r w:rsidR="00A322CD" w:rsidRPr="00833419">
        <w:rPr>
          <w:rFonts w:cstheme="minorHAnsi"/>
          <w:lang w:val="en-GB"/>
        </w:rPr>
        <w:t>“</w:t>
      </w:r>
      <w:r w:rsidR="00921A97" w:rsidRPr="00833419">
        <w:rPr>
          <w:rFonts w:cstheme="minorHAnsi"/>
          <w:i/>
          <w:iCs/>
          <w:lang w:val="en-GB"/>
        </w:rPr>
        <w:t xml:space="preserve">reasonable </w:t>
      </w:r>
      <w:r w:rsidR="00921A97" w:rsidRPr="00833419">
        <w:rPr>
          <w:rFonts w:eastAsia="Times New Roman" w:cstheme="minorHAnsi"/>
          <w:i/>
          <w:iCs/>
          <w:lang w:val="en-GB" w:eastAsia="sl-SI"/>
        </w:rPr>
        <w:t>grounds to believe that the reporting or public disclosure of such information was necessary for revealing a breach</w:t>
      </w:r>
      <w:r w:rsidR="00A322CD" w:rsidRPr="00833419">
        <w:rPr>
          <w:rFonts w:eastAsia="Times New Roman" w:cstheme="minorHAnsi"/>
          <w:lang w:val="en-GB" w:eastAsia="sl-SI"/>
        </w:rPr>
        <w:t>”</w:t>
      </w:r>
      <w:r w:rsidR="00921A97" w:rsidRPr="00833419">
        <w:rPr>
          <w:rFonts w:eastAsia="Times New Roman" w:cstheme="minorHAnsi"/>
          <w:lang w:val="en-GB" w:eastAsia="sl-SI"/>
        </w:rPr>
        <w:t xml:space="preserve"> pursuant to Article </w:t>
      </w:r>
      <w:r w:rsidR="00921A97" w:rsidRPr="00833419">
        <w:rPr>
          <w:rFonts w:cstheme="minorHAnsi"/>
          <w:lang w:val="en-GB"/>
        </w:rPr>
        <w:t xml:space="preserve">21(6) of the  </w:t>
      </w:r>
      <w:r w:rsidR="00921A97" w:rsidRPr="00833419">
        <w:rPr>
          <w:rFonts w:eastAsia="Times New Roman" w:cstheme="minorHAnsi"/>
          <w:lang w:val="en-GB" w:eastAsia="sl-SI"/>
        </w:rPr>
        <w:t xml:space="preserve">  Whistleblowers Protection Act and that </w:t>
      </w:r>
      <w:r w:rsidR="00A322CD" w:rsidRPr="00833419">
        <w:rPr>
          <w:rFonts w:eastAsia="Times New Roman" w:cstheme="minorHAnsi"/>
          <w:lang w:val="en-GB" w:eastAsia="sl-SI"/>
        </w:rPr>
        <w:t xml:space="preserve">the Supreme Court of </w:t>
      </w:r>
      <w:proofErr w:type="spellStart"/>
      <w:r w:rsidR="00A322CD" w:rsidRPr="00833419">
        <w:rPr>
          <w:rFonts w:eastAsia="Times New Roman" w:cstheme="minorHAnsi"/>
          <w:lang w:val="en-GB" w:eastAsia="sl-SI"/>
        </w:rPr>
        <w:t>Yuland</w:t>
      </w:r>
      <w:proofErr w:type="spellEnd"/>
      <w:r w:rsidR="00A322CD" w:rsidRPr="00833419">
        <w:rPr>
          <w:rFonts w:eastAsia="Times New Roman" w:cstheme="minorHAnsi"/>
          <w:lang w:val="en-GB" w:eastAsia="sl-SI"/>
        </w:rPr>
        <w:t xml:space="preserve"> should dismiss the case.</w:t>
      </w:r>
      <w:r w:rsidR="00E42F5F" w:rsidRPr="00833419">
        <w:rPr>
          <w:rFonts w:eastAsia="Times New Roman" w:cstheme="minorHAnsi"/>
          <w:lang w:val="en-GB" w:eastAsia="sl-SI"/>
        </w:rPr>
        <w:t xml:space="preserve"> The Supreme Court of </w:t>
      </w:r>
      <w:proofErr w:type="spellStart"/>
      <w:r w:rsidR="00E42F5F" w:rsidRPr="00833419">
        <w:rPr>
          <w:rFonts w:eastAsia="Times New Roman" w:cstheme="minorHAnsi"/>
          <w:lang w:val="en-GB" w:eastAsia="sl-SI"/>
        </w:rPr>
        <w:t>Yuland</w:t>
      </w:r>
      <w:proofErr w:type="spellEnd"/>
      <w:r w:rsidR="00E42F5F" w:rsidRPr="00833419">
        <w:rPr>
          <w:rFonts w:eastAsia="Times New Roman" w:cstheme="minorHAnsi"/>
          <w:lang w:val="en-GB" w:eastAsia="sl-SI"/>
        </w:rPr>
        <w:t xml:space="preserve"> does not know </w:t>
      </w:r>
      <w:r w:rsidR="00B204E5" w:rsidRPr="00833419">
        <w:rPr>
          <w:rFonts w:eastAsia="Times New Roman" w:cstheme="minorHAnsi"/>
          <w:lang w:val="en-GB" w:eastAsia="sl-SI"/>
        </w:rPr>
        <w:t>how to interpret Article 21 (6). Can the court seek assistance from the CJEU</w:t>
      </w:r>
      <w:r w:rsidR="00C859C2" w:rsidRPr="00833419">
        <w:rPr>
          <w:rFonts w:eastAsia="Times New Roman" w:cstheme="minorHAnsi"/>
          <w:lang w:val="en-GB" w:eastAsia="sl-SI"/>
        </w:rPr>
        <w:t>, given the fact that a</w:t>
      </w:r>
      <w:r w:rsidR="00C859C2" w:rsidRPr="00833419">
        <w:rPr>
          <w:rFonts w:cstheme="minorHAnsi"/>
          <w:bCs/>
          <w:color w:val="000000"/>
          <w:szCs w:val="19"/>
          <w:lang w:val="en-GB"/>
        </w:rPr>
        <w:t xml:space="preserve">ccording to Article 2 </w:t>
      </w:r>
      <w:r w:rsidR="00C81E3F">
        <w:rPr>
          <w:rFonts w:cstheme="minorHAnsi"/>
          <w:bCs/>
          <w:color w:val="000000"/>
          <w:szCs w:val="19"/>
          <w:lang w:val="en-GB"/>
        </w:rPr>
        <w:t xml:space="preserve">of </w:t>
      </w:r>
      <w:r w:rsidR="00C859C2" w:rsidRPr="00833419">
        <w:rPr>
          <w:rFonts w:cstheme="minorHAnsi"/>
          <w:bCs/>
          <w:color w:val="000000"/>
          <w:szCs w:val="19"/>
          <w:lang w:val="en-GB"/>
        </w:rPr>
        <w:t xml:space="preserve">the Whistleblower Directive), the material scope of the Directive does not cover the area of judiciary? </w:t>
      </w:r>
      <w:r w:rsidR="00D93A06" w:rsidRPr="00833419">
        <w:rPr>
          <w:rFonts w:eastAsia="Times New Roman" w:cstheme="minorHAnsi"/>
          <w:lang w:val="en-GB" w:eastAsia="sl-SI"/>
        </w:rPr>
        <w:t xml:space="preserve">In </w:t>
      </w:r>
      <w:r w:rsidR="00710003" w:rsidRPr="00833419">
        <w:rPr>
          <w:rFonts w:eastAsia="Times New Roman" w:cstheme="minorHAnsi"/>
          <w:lang w:val="en-GB" w:eastAsia="sl-SI"/>
        </w:rPr>
        <w:t>replying to this question, please note the following jurisprudence of the CJEU:</w:t>
      </w:r>
      <w:r w:rsidR="0051549B" w:rsidRPr="00833419">
        <w:rPr>
          <w:rFonts w:eastAsia="Times New Roman" w:cstheme="minorHAnsi"/>
          <w:lang w:val="en-GB" w:eastAsia="sl-SI"/>
        </w:rPr>
        <w:t xml:space="preserve"> C-</w:t>
      </w:r>
      <w:r w:rsidR="00E2612E" w:rsidRPr="00833419">
        <w:rPr>
          <w:rFonts w:eastAsia="Times New Roman" w:cstheme="minorHAnsi"/>
          <w:lang w:val="en-GB" w:eastAsia="sl-SI"/>
        </w:rPr>
        <w:t xml:space="preserve">28/95, </w:t>
      </w:r>
      <w:proofErr w:type="spellStart"/>
      <w:r w:rsidR="00E2612E" w:rsidRPr="00833419">
        <w:rPr>
          <w:rFonts w:eastAsia="Times New Roman" w:cstheme="minorHAnsi"/>
          <w:lang w:val="en-GB" w:eastAsia="sl-SI"/>
        </w:rPr>
        <w:t>Leur</w:t>
      </w:r>
      <w:proofErr w:type="spellEnd"/>
      <w:r w:rsidR="00E2612E" w:rsidRPr="00833419">
        <w:rPr>
          <w:rFonts w:eastAsia="Times New Roman" w:cstheme="minorHAnsi"/>
          <w:lang w:val="en-GB" w:eastAsia="sl-SI"/>
        </w:rPr>
        <w:t>-Bloem, 17 July 1997, para</w:t>
      </w:r>
      <w:r w:rsidR="004D49E5" w:rsidRPr="00833419">
        <w:rPr>
          <w:rFonts w:eastAsia="Times New Roman" w:cstheme="minorHAnsi"/>
          <w:lang w:val="en-GB" w:eastAsia="sl-SI"/>
        </w:rPr>
        <w:t>s</w:t>
      </w:r>
      <w:r w:rsidR="00E2612E" w:rsidRPr="00833419">
        <w:rPr>
          <w:rFonts w:eastAsia="Times New Roman" w:cstheme="minorHAnsi"/>
          <w:lang w:val="en-GB" w:eastAsia="sl-SI"/>
        </w:rPr>
        <w:t xml:space="preserve">. </w:t>
      </w:r>
      <w:r w:rsidR="004D49E5" w:rsidRPr="00833419">
        <w:rPr>
          <w:rFonts w:eastAsia="Times New Roman" w:cstheme="minorHAnsi"/>
          <w:lang w:val="en-GB" w:eastAsia="sl-SI"/>
        </w:rPr>
        <w:t>32</w:t>
      </w:r>
      <w:r w:rsidR="00CF3FF9">
        <w:rPr>
          <w:rFonts w:eastAsia="Times New Roman" w:cstheme="minorHAnsi"/>
          <w:lang w:val="en-GB" w:eastAsia="sl-SI"/>
        </w:rPr>
        <w:t>–</w:t>
      </w:r>
      <w:r w:rsidR="004D49E5" w:rsidRPr="00CF3FF9">
        <w:rPr>
          <w:rFonts w:eastAsia="Times New Roman" w:cstheme="minorHAnsi"/>
          <w:lang w:val="en-GB" w:eastAsia="sl-SI"/>
        </w:rPr>
        <w:t>34;</w:t>
      </w:r>
      <w:r w:rsidR="00992C24" w:rsidRPr="00CF3FF9">
        <w:rPr>
          <w:rFonts w:eastAsia="Times New Roman" w:cstheme="minorHAnsi"/>
          <w:lang w:val="en-GB" w:eastAsia="sl-SI"/>
        </w:rPr>
        <w:t xml:space="preserve"> Case C-338/14, </w:t>
      </w:r>
      <w:proofErr w:type="spellStart"/>
      <w:r w:rsidR="00992C24" w:rsidRPr="00CF3FF9">
        <w:rPr>
          <w:rFonts w:eastAsia="Times New Roman" w:cstheme="minorHAnsi"/>
          <w:lang w:val="en-GB" w:eastAsia="sl-SI"/>
        </w:rPr>
        <w:t>Quenon</w:t>
      </w:r>
      <w:proofErr w:type="spellEnd"/>
      <w:r w:rsidR="00992C24" w:rsidRPr="00CF3FF9">
        <w:rPr>
          <w:rFonts w:eastAsia="Times New Roman" w:cstheme="minorHAnsi"/>
          <w:lang w:val="en-GB" w:eastAsia="sl-SI"/>
        </w:rPr>
        <w:t xml:space="preserve"> v. </w:t>
      </w:r>
      <w:proofErr w:type="spellStart"/>
      <w:r w:rsidR="00992C24" w:rsidRPr="00CF3FF9">
        <w:rPr>
          <w:rFonts w:eastAsia="Times New Roman" w:cstheme="minorHAnsi"/>
          <w:lang w:val="en-GB" w:eastAsia="sl-SI"/>
        </w:rPr>
        <w:t>Beobank</w:t>
      </w:r>
      <w:proofErr w:type="spellEnd"/>
      <w:r w:rsidR="00992C24" w:rsidRPr="00CF3FF9">
        <w:rPr>
          <w:rFonts w:eastAsia="Times New Roman" w:cstheme="minorHAnsi"/>
          <w:lang w:val="en-GB" w:eastAsia="sl-SI"/>
        </w:rPr>
        <w:t xml:space="preserve"> &amp; </w:t>
      </w:r>
      <w:proofErr w:type="spellStart"/>
      <w:r w:rsidR="00992C24" w:rsidRPr="00CF3FF9">
        <w:rPr>
          <w:rFonts w:eastAsia="Times New Roman" w:cstheme="minorHAnsi"/>
          <w:lang w:val="en-GB" w:eastAsia="sl-SI"/>
        </w:rPr>
        <w:t>Metlife</w:t>
      </w:r>
      <w:proofErr w:type="spellEnd"/>
      <w:r w:rsidR="00992C24" w:rsidRPr="00CF3FF9">
        <w:rPr>
          <w:rFonts w:eastAsia="Times New Roman" w:cstheme="minorHAnsi"/>
          <w:lang w:val="en-GB" w:eastAsia="sl-SI"/>
        </w:rPr>
        <w:t xml:space="preserve"> Insurance, </w:t>
      </w:r>
      <w:r w:rsidR="0082279D" w:rsidRPr="00CF3FF9">
        <w:rPr>
          <w:rFonts w:eastAsia="Times New Roman" w:cstheme="minorHAnsi"/>
          <w:lang w:val="en-GB" w:eastAsia="sl-SI"/>
        </w:rPr>
        <w:t>3 December 2015</w:t>
      </w:r>
      <w:r w:rsidR="00992C24" w:rsidRPr="00CF3FF9">
        <w:rPr>
          <w:rFonts w:eastAsia="Times New Roman" w:cstheme="minorHAnsi"/>
          <w:lang w:val="en-GB" w:eastAsia="sl-SI"/>
        </w:rPr>
        <w:t>, paras. 16–18</w:t>
      </w:r>
      <w:r w:rsidR="00C859C2" w:rsidRPr="00CF3FF9">
        <w:rPr>
          <w:rFonts w:eastAsia="Times New Roman" w:cstheme="minorHAnsi"/>
          <w:lang w:val="en-GB" w:eastAsia="sl-SI"/>
        </w:rPr>
        <w:t xml:space="preserve"> and the references contained therein.</w:t>
      </w:r>
    </w:p>
    <w:p w14:paraId="51C990EB" w14:textId="77777777" w:rsidR="002E2F01" w:rsidRPr="002E2F01" w:rsidRDefault="002E2F01" w:rsidP="002E2F01">
      <w:pPr>
        <w:pStyle w:val="Odstavekseznama"/>
        <w:jc w:val="both"/>
        <w:rPr>
          <w:rFonts w:eastAsia="Times New Roman" w:cstheme="minorHAnsi"/>
          <w:lang w:val="en-GB" w:eastAsia="sl-SI"/>
        </w:rPr>
      </w:pPr>
    </w:p>
    <w:p w14:paraId="449C76AA" w14:textId="01E70D02" w:rsidR="006F143A" w:rsidRPr="00833419" w:rsidRDefault="00C72A9C" w:rsidP="006F5DB5">
      <w:pPr>
        <w:pStyle w:val="Odstavekseznama"/>
        <w:numPr>
          <w:ilvl w:val="0"/>
          <w:numId w:val="12"/>
        </w:numPr>
        <w:jc w:val="both"/>
        <w:rPr>
          <w:rFonts w:eastAsia="Times New Roman" w:cstheme="minorHAnsi"/>
          <w:i/>
          <w:iCs/>
          <w:lang w:val="en-GB" w:eastAsia="sl-SI"/>
        </w:rPr>
      </w:pPr>
      <w:r w:rsidRPr="00833419">
        <w:rPr>
          <w:rFonts w:cstheme="minorHAnsi"/>
          <w:bCs/>
          <w:color w:val="000000"/>
          <w:szCs w:val="19"/>
          <w:lang w:val="en-GB"/>
        </w:rPr>
        <w:t>I</w:t>
      </w:r>
      <w:r w:rsidR="001F4487" w:rsidRPr="00833419">
        <w:rPr>
          <w:rFonts w:cstheme="minorHAnsi"/>
          <w:bCs/>
          <w:color w:val="000000"/>
          <w:szCs w:val="19"/>
          <w:lang w:val="en-GB"/>
        </w:rPr>
        <w:t xml:space="preserve">n her submissions before the Supreme Court of </w:t>
      </w:r>
      <w:proofErr w:type="spellStart"/>
      <w:r w:rsidR="001F4487" w:rsidRPr="00833419">
        <w:rPr>
          <w:rFonts w:cstheme="minorHAnsi"/>
          <w:bCs/>
          <w:color w:val="000000"/>
          <w:szCs w:val="19"/>
          <w:lang w:val="en-GB"/>
        </w:rPr>
        <w:t>Yuland</w:t>
      </w:r>
      <w:proofErr w:type="spellEnd"/>
      <w:r w:rsidR="001F4487" w:rsidRPr="00833419">
        <w:rPr>
          <w:rFonts w:cstheme="minorHAnsi"/>
          <w:bCs/>
          <w:color w:val="000000"/>
          <w:szCs w:val="19"/>
          <w:lang w:val="en-GB"/>
        </w:rPr>
        <w:t xml:space="preserve">, Ana relies on </w:t>
      </w:r>
      <w:r w:rsidR="00F3408C" w:rsidRPr="00833419">
        <w:rPr>
          <w:rFonts w:cstheme="minorHAnsi"/>
          <w:bCs/>
          <w:color w:val="000000"/>
          <w:szCs w:val="19"/>
          <w:lang w:val="en-GB"/>
        </w:rPr>
        <w:t>the</w:t>
      </w:r>
      <w:r w:rsidR="00D8196C" w:rsidRPr="00833419">
        <w:rPr>
          <w:rFonts w:cstheme="minorHAnsi"/>
          <w:bCs/>
          <w:color w:val="000000"/>
          <w:szCs w:val="19"/>
          <w:lang w:val="en-GB"/>
        </w:rPr>
        <w:t xml:space="preserve"> </w:t>
      </w:r>
      <w:r w:rsidR="00C41962" w:rsidRPr="00833419">
        <w:rPr>
          <w:rFonts w:cstheme="minorHAnsi"/>
          <w:bCs/>
          <w:color w:val="000000"/>
          <w:szCs w:val="19"/>
          <w:lang w:val="en-GB"/>
        </w:rPr>
        <w:t>Articles 31</w:t>
      </w:r>
      <w:r w:rsidR="00026BCE" w:rsidRPr="00833419">
        <w:rPr>
          <w:rFonts w:cstheme="minorHAnsi"/>
          <w:bCs/>
          <w:color w:val="000000"/>
          <w:szCs w:val="19"/>
          <w:lang w:val="en-GB"/>
        </w:rPr>
        <w:t xml:space="preserve"> and</w:t>
      </w:r>
      <w:r w:rsidR="00462F7C" w:rsidRPr="00833419">
        <w:rPr>
          <w:rFonts w:cstheme="minorHAnsi"/>
          <w:bCs/>
          <w:color w:val="000000"/>
          <w:szCs w:val="19"/>
          <w:lang w:val="en-GB"/>
        </w:rPr>
        <w:t xml:space="preserve"> 41 </w:t>
      </w:r>
      <w:r w:rsidR="00BC1533" w:rsidRPr="00833419">
        <w:rPr>
          <w:rFonts w:cstheme="minorHAnsi"/>
          <w:bCs/>
          <w:color w:val="000000"/>
          <w:szCs w:val="19"/>
          <w:lang w:val="en-GB"/>
        </w:rPr>
        <w:t>o</w:t>
      </w:r>
      <w:r w:rsidR="00362070" w:rsidRPr="00833419">
        <w:rPr>
          <w:rFonts w:cstheme="minorHAnsi"/>
          <w:bCs/>
          <w:color w:val="000000"/>
          <w:szCs w:val="19"/>
          <w:lang w:val="en-GB"/>
        </w:rPr>
        <w:t xml:space="preserve">f the </w:t>
      </w:r>
      <w:r w:rsidR="00D8196C" w:rsidRPr="00833419">
        <w:rPr>
          <w:rFonts w:cstheme="minorHAnsi"/>
          <w:bCs/>
          <w:color w:val="000000"/>
          <w:szCs w:val="19"/>
          <w:lang w:val="en-GB"/>
        </w:rPr>
        <w:t>EU Charter of Fundamental Rights</w:t>
      </w:r>
      <w:r w:rsidR="00F3408C" w:rsidRPr="00833419">
        <w:rPr>
          <w:rFonts w:cstheme="minorHAnsi"/>
          <w:bCs/>
          <w:color w:val="000000"/>
          <w:szCs w:val="19"/>
          <w:lang w:val="en-GB"/>
        </w:rPr>
        <w:t xml:space="preserve">. Does the Charter apply in the case at hand? </w:t>
      </w:r>
      <w:r w:rsidR="006C13BB" w:rsidRPr="00833419">
        <w:rPr>
          <w:rFonts w:cstheme="minorHAnsi"/>
          <w:bCs/>
          <w:color w:val="000000"/>
          <w:szCs w:val="19"/>
          <w:lang w:val="en-GB"/>
        </w:rPr>
        <w:t>Why/why not?</w:t>
      </w:r>
      <w:r w:rsidR="001B5632" w:rsidRPr="00833419">
        <w:rPr>
          <w:rFonts w:cstheme="minorHAnsi"/>
          <w:bCs/>
          <w:color w:val="000000"/>
          <w:szCs w:val="19"/>
          <w:lang w:val="en-GB"/>
        </w:rPr>
        <w:t xml:space="preserve"> In answering this question, </w:t>
      </w:r>
      <w:r w:rsidR="000E2139" w:rsidRPr="00833419">
        <w:rPr>
          <w:rFonts w:cstheme="minorHAnsi"/>
          <w:bCs/>
          <w:color w:val="000000"/>
          <w:szCs w:val="19"/>
          <w:lang w:val="en-GB"/>
        </w:rPr>
        <w:t xml:space="preserve">please </w:t>
      </w:r>
      <w:r w:rsidR="001F74F3" w:rsidRPr="00833419">
        <w:rPr>
          <w:rFonts w:cstheme="minorHAnsi"/>
          <w:bCs/>
          <w:color w:val="000000"/>
          <w:szCs w:val="19"/>
          <w:lang w:val="en-GB"/>
        </w:rPr>
        <w:t xml:space="preserve">note </w:t>
      </w:r>
      <w:r w:rsidR="00D20594">
        <w:rPr>
          <w:rFonts w:cstheme="minorHAnsi"/>
          <w:bCs/>
          <w:color w:val="000000"/>
          <w:szCs w:val="19"/>
          <w:lang w:val="en-GB"/>
        </w:rPr>
        <w:t>CJEU, C-206/13</w:t>
      </w:r>
      <w:r w:rsidR="00FB2A6B">
        <w:rPr>
          <w:rFonts w:cstheme="minorHAnsi"/>
          <w:bCs/>
          <w:color w:val="000000"/>
          <w:szCs w:val="19"/>
          <w:lang w:val="en-GB"/>
        </w:rPr>
        <w:t>,</w:t>
      </w:r>
      <w:r w:rsidR="00D20594">
        <w:rPr>
          <w:rFonts w:cstheme="minorHAnsi"/>
          <w:bCs/>
          <w:color w:val="000000"/>
          <w:szCs w:val="19"/>
          <w:lang w:val="en-GB"/>
        </w:rPr>
        <w:t xml:space="preserve"> </w:t>
      </w:r>
      <w:r w:rsidR="001F74F3" w:rsidRPr="00833419">
        <w:rPr>
          <w:rFonts w:cstheme="minorHAnsi"/>
          <w:bCs/>
          <w:color w:val="000000"/>
          <w:szCs w:val="19"/>
          <w:lang w:val="en-GB"/>
        </w:rPr>
        <w:t>Siragusa,</w:t>
      </w:r>
      <w:r w:rsidR="00711C05">
        <w:rPr>
          <w:rFonts w:cstheme="minorHAnsi"/>
          <w:bCs/>
          <w:color w:val="000000"/>
          <w:szCs w:val="19"/>
          <w:lang w:val="en-GB"/>
        </w:rPr>
        <w:t>6 March 2014,</w:t>
      </w:r>
      <w:r w:rsidR="001F74F3" w:rsidRPr="00833419">
        <w:rPr>
          <w:rFonts w:cstheme="minorHAnsi"/>
          <w:bCs/>
          <w:color w:val="000000"/>
          <w:szCs w:val="19"/>
          <w:lang w:val="en-GB"/>
        </w:rPr>
        <w:t xml:space="preserve"> para. 25, </w:t>
      </w:r>
      <w:r w:rsidR="00FB2A6B">
        <w:rPr>
          <w:rFonts w:cstheme="minorHAnsi"/>
          <w:bCs/>
          <w:color w:val="000000"/>
          <w:szCs w:val="19"/>
          <w:lang w:val="en-GB"/>
        </w:rPr>
        <w:t xml:space="preserve">C-40/11, </w:t>
      </w:r>
      <w:r w:rsidR="001F74F3" w:rsidRPr="00833419">
        <w:rPr>
          <w:rFonts w:cstheme="minorHAnsi"/>
          <w:bCs/>
          <w:color w:val="000000"/>
          <w:szCs w:val="19"/>
          <w:lang w:val="en-GB"/>
        </w:rPr>
        <w:t>Lida</w:t>
      </w:r>
      <w:r w:rsidR="00711C05">
        <w:rPr>
          <w:rFonts w:cstheme="minorHAnsi"/>
          <w:bCs/>
          <w:color w:val="000000"/>
          <w:szCs w:val="19"/>
          <w:lang w:val="en-GB"/>
        </w:rPr>
        <w:t>, 8 November 2012,</w:t>
      </w:r>
      <w:r w:rsidR="001F74F3" w:rsidRPr="00833419">
        <w:rPr>
          <w:rFonts w:cstheme="minorHAnsi"/>
          <w:bCs/>
          <w:color w:val="000000"/>
          <w:szCs w:val="19"/>
          <w:lang w:val="en-GB"/>
        </w:rPr>
        <w:t xml:space="preserve"> para. 79</w:t>
      </w:r>
      <w:r w:rsidR="00711C05">
        <w:rPr>
          <w:rFonts w:cstheme="minorHAnsi"/>
          <w:bCs/>
          <w:color w:val="000000"/>
          <w:szCs w:val="19"/>
          <w:lang w:val="en-GB"/>
        </w:rPr>
        <w:t>,</w:t>
      </w:r>
      <w:r w:rsidR="001F74F3" w:rsidRPr="00833419">
        <w:rPr>
          <w:rFonts w:cstheme="minorHAnsi"/>
          <w:bCs/>
          <w:color w:val="000000"/>
          <w:szCs w:val="19"/>
          <w:lang w:val="en-GB"/>
        </w:rPr>
        <w:t xml:space="preserve"> and </w:t>
      </w:r>
      <w:r w:rsidR="000E2139" w:rsidRPr="00833419">
        <w:rPr>
          <w:rFonts w:cstheme="minorHAnsi"/>
          <w:bCs/>
          <w:color w:val="000000"/>
          <w:szCs w:val="19"/>
          <w:lang w:val="en-GB"/>
        </w:rPr>
        <w:t xml:space="preserve">consult </w:t>
      </w:r>
      <w:r w:rsidR="00087C64" w:rsidRPr="00833419">
        <w:rPr>
          <w:rFonts w:cstheme="minorHAnsi"/>
          <w:bCs/>
          <w:color w:val="000000"/>
          <w:szCs w:val="19"/>
          <w:lang w:val="en-GB"/>
        </w:rPr>
        <w:t>FRA Handbook</w:t>
      </w:r>
      <w:r w:rsidR="007140FE" w:rsidRPr="00833419">
        <w:rPr>
          <w:rFonts w:cstheme="minorHAnsi"/>
          <w:bCs/>
          <w:color w:val="000000"/>
          <w:szCs w:val="19"/>
          <w:lang w:val="en-GB"/>
        </w:rPr>
        <w:t xml:space="preserve"> - </w:t>
      </w:r>
      <w:r w:rsidR="007140FE" w:rsidRPr="00833419">
        <w:rPr>
          <w:lang w:val="en-GB"/>
        </w:rPr>
        <w:t>Applying the Charter of Fundamental Rights of the European Union in law and policymaking at national level</w:t>
      </w:r>
      <w:r w:rsidR="005A4AB7" w:rsidRPr="00833419">
        <w:rPr>
          <w:lang w:val="en-GB"/>
        </w:rPr>
        <w:t>, p. 51-53</w:t>
      </w:r>
      <w:r w:rsidR="00711C05">
        <w:rPr>
          <w:lang w:val="en-GB"/>
        </w:rPr>
        <w:t>, available at:</w:t>
      </w:r>
      <w:r w:rsidR="005A4AB7" w:rsidRPr="00833419">
        <w:rPr>
          <w:lang w:val="en-GB"/>
        </w:rPr>
        <w:t xml:space="preserve"> </w:t>
      </w:r>
      <w:hyperlink r:id="rId11" w:history="1">
        <w:r w:rsidR="00711C05" w:rsidRPr="003A2620">
          <w:rPr>
            <w:rStyle w:val="Hiperpovezava"/>
            <w:lang w:val="en-GB"/>
          </w:rPr>
          <w:t>https://fra.europa.eu/en/publication/2018/applying-charter-fundamental-rights-european-union-law-and-policymaking-national</w:t>
        </w:r>
      </w:hyperlink>
      <w:r w:rsidR="005A4AB7" w:rsidRPr="00833419">
        <w:rPr>
          <w:lang w:val="en-GB"/>
        </w:rPr>
        <w:t>.</w:t>
      </w:r>
      <w:r w:rsidR="007140FE" w:rsidRPr="00833419">
        <w:rPr>
          <w:lang w:val="en-GB"/>
        </w:rPr>
        <w:t xml:space="preserve"> </w:t>
      </w:r>
    </w:p>
    <w:p w14:paraId="27FD5A4C" w14:textId="6FC709F0" w:rsidR="001D01FD" w:rsidRPr="00833419" w:rsidRDefault="00CF4810" w:rsidP="00DC79C6">
      <w:pPr>
        <w:jc w:val="both"/>
        <w:rPr>
          <w:rFonts w:cstheme="minorHAnsi"/>
          <w:bCs/>
          <w:color w:val="000000"/>
          <w:szCs w:val="19"/>
          <w:lang w:val="en-GB"/>
        </w:rPr>
      </w:pPr>
      <w:r w:rsidRPr="00833419">
        <w:rPr>
          <w:rFonts w:cstheme="minorHAnsi"/>
          <w:bCs/>
          <w:color w:val="000000"/>
          <w:szCs w:val="19"/>
          <w:lang w:val="en-GB"/>
        </w:rPr>
        <w:lastRenderedPageBreak/>
        <w:t>In the meantime, o</w:t>
      </w:r>
      <w:r w:rsidR="001D01FD" w:rsidRPr="00833419">
        <w:rPr>
          <w:rFonts w:cstheme="minorHAnsi"/>
          <w:bCs/>
          <w:color w:val="000000"/>
          <w:szCs w:val="19"/>
          <w:lang w:val="en-GB"/>
        </w:rPr>
        <w:t>fficial</w:t>
      </w:r>
      <w:r w:rsidR="006F5DB5" w:rsidRPr="00833419">
        <w:rPr>
          <w:rFonts w:cstheme="minorHAnsi"/>
          <w:bCs/>
          <w:color w:val="000000"/>
          <w:szCs w:val="19"/>
          <w:lang w:val="en-GB"/>
        </w:rPr>
        <w:t xml:space="preserve"> criminal</w:t>
      </w:r>
      <w:r w:rsidR="001D01FD" w:rsidRPr="00833419">
        <w:rPr>
          <w:rFonts w:cstheme="minorHAnsi"/>
          <w:bCs/>
          <w:color w:val="000000"/>
          <w:szCs w:val="19"/>
          <w:lang w:val="en-GB"/>
        </w:rPr>
        <w:t xml:space="preserve"> investigation into the alleged interference in the allocation of mediators found that an organised group of lawyers and judges relied on one of the registrars of the </w:t>
      </w:r>
      <w:proofErr w:type="spellStart"/>
      <w:r w:rsidR="001D01FD" w:rsidRPr="00833419">
        <w:rPr>
          <w:rFonts w:cstheme="minorHAnsi"/>
          <w:bCs/>
          <w:color w:val="000000"/>
          <w:szCs w:val="19"/>
          <w:lang w:val="en-GB"/>
        </w:rPr>
        <w:t>Justville</w:t>
      </w:r>
      <w:proofErr w:type="spellEnd"/>
      <w:r w:rsidR="001D01FD" w:rsidRPr="00833419">
        <w:rPr>
          <w:rFonts w:cstheme="minorHAnsi"/>
          <w:bCs/>
          <w:color w:val="000000"/>
          <w:szCs w:val="19"/>
          <w:lang w:val="en-GB"/>
        </w:rPr>
        <w:t xml:space="preserve"> District court to work as prox</w:t>
      </w:r>
      <w:r w:rsidR="005875A4" w:rsidRPr="00833419">
        <w:rPr>
          <w:rFonts w:cstheme="minorHAnsi"/>
          <w:bCs/>
          <w:color w:val="000000"/>
          <w:szCs w:val="19"/>
          <w:lang w:val="en-GB"/>
        </w:rPr>
        <w:t>y</w:t>
      </w:r>
      <w:r w:rsidR="001D01FD" w:rsidRPr="00833419">
        <w:rPr>
          <w:rFonts w:cstheme="minorHAnsi"/>
          <w:bCs/>
          <w:color w:val="000000"/>
          <w:szCs w:val="19"/>
          <w:lang w:val="en-GB"/>
        </w:rPr>
        <w:t xml:space="preserve">. The registrar prepared the list </w:t>
      </w:r>
      <w:r w:rsidR="005875A4" w:rsidRPr="00833419">
        <w:rPr>
          <w:rFonts w:cstheme="minorHAnsi"/>
          <w:bCs/>
          <w:color w:val="000000"/>
          <w:szCs w:val="19"/>
          <w:lang w:val="en-GB"/>
        </w:rPr>
        <w:t>of cases to be allocated and</w:t>
      </w:r>
      <w:r w:rsidR="001D01FD" w:rsidRPr="00833419">
        <w:rPr>
          <w:rFonts w:cstheme="minorHAnsi"/>
          <w:bCs/>
          <w:color w:val="000000"/>
          <w:szCs w:val="19"/>
          <w:lang w:val="en-GB"/>
        </w:rPr>
        <w:t xml:space="preserve"> handed it over to one of the group members. After the group has made the selection, the registrar’s task was to </w:t>
      </w:r>
      <w:r w:rsidR="00641AD3">
        <w:rPr>
          <w:rFonts w:cstheme="minorHAnsi"/>
          <w:bCs/>
          <w:color w:val="000000"/>
          <w:szCs w:val="19"/>
          <w:lang w:val="en-GB"/>
        </w:rPr>
        <w:t xml:space="preserve">secretly </w:t>
      </w:r>
      <w:r w:rsidR="001D01FD" w:rsidRPr="00833419">
        <w:rPr>
          <w:rFonts w:cstheme="minorHAnsi"/>
          <w:bCs/>
          <w:color w:val="000000"/>
          <w:szCs w:val="19"/>
          <w:lang w:val="en-GB"/>
        </w:rPr>
        <w:t>put their selection in Ana’s mailbox. The official investigation</w:t>
      </w:r>
      <w:r w:rsidR="00E25EE6" w:rsidRPr="00833419">
        <w:rPr>
          <w:rFonts w:cstheme="minorHAnsi"/>
          <w:bCs/>
          <w:color w:val="000000"/>
          <w:szCs w:val="19"/>
          <w:lang w:val="en-GB"/>
        </w:rPr>
        <w:t xml:space="preserve"> led to indictment of the members of the group, except for two judges for which the inquiry could not</w:t>
      </w:r>
      <w:r w:rsidR="00B63303" w:rsidRPr="00833419">
        <w:rPr>
          <w:rFonts w:cstheme="minorHAnsi"/>
          <w:bCs/>
          <w:color w:val="000000"/>
          <w:szCs w:val="19"/>
          <w:lang w:val="en-GB"/>
        </w:rPr>
        <w:t xml:space="preserve"> find </w:t>
      </w:r>
      <w:r w:rsidR="00E25EE6" w:rsidRPr="00833419">
        <w:rPr>
          <w:rFonts w:cstheme="minorHAnsi"/>
          <w:bCs/>
          <w:color w:val="000000"/>
          <w:szCs w:val="19"/>
          <w:lang w:val="en-GB"/>
        </w:rPr>
        <w:t xml:space="preserve">enough </w:t>
      </w:r>
      <w:r w:rsidR="00B63303" w:rsidRPr="00833419">
        <w:rPr>
          <w:rFonts w:cstheme="minorHAnsi"/>
          <w:bCs/>
          <w:color w:val="000000"/>
          <w:szCs w:val="19"/>
          <w:lang w:val="en-GB"/>
        </w:rPr>
        <w:t>evidence</w:t>
      </w:r>
      <w:r w:rsidR="00E25EE6" w:rsidRPr="00833419">
        <w:rPr>
          <w:rFonts w:cstheme="minorHAnsi"/>
          <w:bCs/>
          <w:color w:val="000000"/>
          <w:szCs w:val="19"/>
          <w:lang w:val="en-GB"/>
        </w:rPr>
        <w:t xml:space="preserve"> linking them to the</w:t>
      </w:r>
      <w:r w:rsidR="001D01FD" w:rsidRPr="00833419">
        <w:rPr>
          <w:rFonts w:cstheme="minorHAnsi"/>
          <w:bCs/>
          <w:color w:val="000000"/>
          <w:szCs w:val="19"/>
          <w:lang w:val="en-GB"/>
        </w:rPr>
        <w:t xml:space="preserve"> organised group.</w:t>
      </w:r>
      <w:r w:rsidR="00B63303" w:rsidRPr="00833419">
        <w:rPr>
          <w:rFonts w:cstheme="minorHAnsi"/>
          <w:bCs/>
          <w:color w:val="000000"/>
          <w:szCs w:val="19"/>
          <w:lang w:val="en-GB"/>
        </w:rPr>
        <w:t xml:space="preserve"> The charges against them were therefore dropped </w:t>
      </w:r>
      <w:r w:rsidR="00E25EE6" w:rsidRPr="00833419">
        <w:rPr>
          <w:rFonts w:cstheme="minorHAnsi"/>
          <w:bCs/>
          <w:color w:val="000000"/>
          <w:szCs w:val="19"/>
          <w:lang w:val="en-GB"/>
        </w:rPr>
        <w:t>soon after the initiat</w:t>
      </w:r>
      <w:r w:rsidR="007343C0" w:rsidRPr="00833419">
        <w:rPr>
          <w:rFonts w:cstheme="minorHAnsi"/>
          <w:bCs/>
          <w:color w:val="000000"/>
          <w:szCs w:val="19"/>
          <w:lang w:val="en-GB"/>
        </w:rPr>
        <w:t>ion of the investigation.</w:t>
      </w:r>
      <w:r w:rsidR="001D01FD" w:rsidRPr="00833419">
        <w:rPr>
          <w:rFonts w:cstheme="minorHAnsi"/>
          <w:bCs/>
          <w:color w:val="000000"/>
          <w:szCs w:val="19"/>
          <w:lang w:val="en-GB"/>
        </w:rPr>
        <w:t xml:space="preserve"> They were allocated</w:t>
      </w:r>
      <w:r w:rsidR="005875A4" w:rsidRPr="00833419">
        <w:rPr>
          <w:rFonts w:cstheme="minorHAnsi"/>
          <w:bCs/>
          <w:color w:val="000000"/>
          <w:szCs w:val="19"/>
          <w:lang w:val="en-GB"/>
        </w:rPr>
        <w:t xml:space="preserve"> to</w:t>
      </w:r>
      <w:r w:rsidR="001D01FD" w:rsidRPr="00833419">
        <w:rPr>
          <w:rFonts w:cstheme="minorHAnsi"/>
          <w:bCs/>
          <w:color w:val="000000"/>
          <w:szCs w:val="19"/>
          <w:lang w:val="en-GB"/>
        </w:rPr>
        <w:t xml:space="preserve"> “profitable”</w:t>
      </w:r>
      <w:r w:rsidR="005875A4" w:rsidRPr="00833419">
        <w:rPr>
          <w:rFonts w:cstheme="minorHAnsi"/>
          <w:bCs/>
          <w:color w:val="000000"/>
          <w:szCs w:val="19"/>
          <w:lang w:val="en-GB"/>
        </w:rPr>
        <w:t xml:space="preserve"> cases more often than other mediators, but less often than the reminder of the group.</w:t>
      </w:r>
    </w:p>
    <w:p w14:paraId="5F47B8FB" w14:textId="5ED82255" w:rsidR="00B63303" w:rsidRPr="00833419" w:rsidRDefault="008E08F1" w:rsidP="00B63303">
      <w:pPr>
        <w:jc w:val="both"/>
        <w:rPr>
          <w:rFonts w:cstheme="minorHAnsi"/>
          <w:lang w:val="en-GB"/>
        </w:rPr>
      </w:pPr>
      <w:r w:rsidRPr="00833419">
        <w:rPr>
          <w:rFonts w:cstheme="minorHAnsi"/>
          <w:bCs/>
          <w:color w:val="000000"/>
          <w:szCs w:val="19"/>
          <w:lang w:val="en-GB"/>
        </w:rPr>
        <w:t>One of the judges was furious and could not understand why Ana decided to reveal his name</w:t>
      </w:r>
      <w:r w:rsidR="007343C0" w:rsidRPr="00833419">
        <w:rPr>
          <w:rFonts w:cstheme="minorHAnsi"/>
          <w:bCs/>
          <w:color w:val="000000"/>
          <w:szCs w:val="19"/>
          <w:lang w:val="en-GB"/>
        </w:rPr>
        <w:t xml:space="preserve"> to the media</w:t>
      </w:r>
      <w:r w:rsidRPr="00833419">
        <w:rPr>
          <w:rFonts w:cstheme="minorHAnsi"/>
          <w:bCs/>
          <w:color w:val="000000"/>
          <w:szCs w:val="19"/>
          <w:lang w:val="en-GB"/>
        </w:rPr>
        <w:t xml:space="preserve">. His personal and professional reputation sharply declined. He decided to sue Ana for defamation. </w:t>
      </w:r>
      <w:r w:rsidR="00B63303" w:rsidRPr="00833419">
        <w:rPr>
          <w:rFonts w:cstheme="minorHAnsi"/>
          <w:bCs/>
          <w:color w:val="000000"/>
          <w:szCs w:val="19"/>
          <w:lang w:val="en-GB"/>
        </w:rPr>
        <w:t>In the defamation proceedings, h</w:t>
      </w:r>
      <w:r w:rsidRPr="00833419">
        <w:rPr>
          <w:rFonts w:cstheme="minorHAnsi"/>
          <w:bCs/>
          <w:color w:val="000000"/>
          <w:szCs w:val="19"/>
          <w:lang w:val="en-GB"/>
        </w:rPr>
        <w:t>e alleged that he appeared on Ana’s list</w:t>
      </w:r>
      <w:r w:rsidR="00584B45">
        <w:rPr>
          <w:rFonts w:cstheme="minorHAnsi"/>
          <w:bCs/>
          <w:color w:val="000000"/>
          <w:szCs w:val="19"/>
          <w:lang w:val="en-GB"/>
        </w:rPr>
        <w:t>, and later in the media,</w:t>
      </w:r>
      <w:r w:rsidRPr="00833419">
        <w:rPr>
          <w:rFonts w:cstheme="minorHAnsi"/>
          <w:bCs/>
          <w:color w:val="000000"/>
          <w:szCs w:val="19"/>
          <w:lang w:val="en-GB"/>
        </w:rPr>
        <w:t xml:space="preserve"> due to her careless analysis of the documentation. In the case of doubt, she should have denounced less people. In any case, he claimed that giving full names and professions to</w:t>
      </w:r>
      <w:r w:rsidR="00B63303" w:rsidRPr="00833419">
        <w:rPr>
          <w:rFonts w:cstheme="minorHAnsi"/>
          <w:bCs/>
          <w:color w:val="000000"/>
          <w:szCs w:val="19"/>
          <w:lang w:val="en-GB"/>
        </w:rPr>
        <w:t xml:space="preserve"> the media was entirely inappropr</w:t>
      </w:r>
      <w:r w:rsidRPr="00833419">
        <w:rPr>
          <w:rFonts w:cstheme="minorHAnsi"/>
          <w:bCs/>
          <w:color w:val="000000"/>
          <w:szCs w:val="19"/>
          <w:lang w:val="en-GB"/>
        </w:rPr>
        <w:t>iate and</w:t>
      </w:r>
      <w:r w:rsidR="00B63303" w:rsidRPr="00833419">
        <w:rPr>
          <w:rFonts w:cstheme="minorHAnsi"/>
          <w:bCs/>
          <w:color w:val="000000"/>
          <w:szCs w:val="19"/>
          <w:lang w:val="en-GB"/>
        </w:rPr>
        <w:t xml:space="preserve"> unnecessary. Ana relied on Article 21 of the </w:t>
      </w:r>
      <w:r w:rsidR="00B63303" w:rsidRPr="00833419">
        <w:rPr>
          <w:rFonts w:cstheme="minorHAnsi"/>
          <w:lang w:val="en-GB"/>
        </w:rPr>
        <w:t xml:space="preserve">Whistleblower Protection Act, claiming that the provision absolves her of any liability for the act of Whistleblowing. </w:t>
      </w:r>
      <w:r w:rsidR="007B4E7F" w:rsidRPr="00833419">
        <w:rPr>
          <w:lang w:val="en-GB"/>
        </w:rPr>
        <w:t xml:space="preserve">The affected judge relied on Articles 21 (3) and 21 (6) of the Whistleblowers protection Act, claiming that Ana did not have </w:t>
      </w:r>
      <w:r w:rsidR="003A17DF" w:rsidRPr="00833419">
        <w:rPr>
          <w:lang w:val="en-GB"/>
        </w:rPr>
        <w:t>“</w:t>
      </w:r>
      <w:r w:rsidR="007B4E7F" w:rsidRPr="00833419">
        <w:rPr>
          <w:lang w:val="en-GB"/>
        </w:rPr>
        <w:t xml:space="preserve">reasonable </w:t>
      </w:r>
      <w:r w:rsidR="007B4E7F" w:rsidRPr="00833419">
        <w:rPr>
          <w:rFonts w:eastAsia="Times New Roman"/>
          <w:lang w:val="en-GB" w:eastAsia="sl-SI"/>
        </w:rPr>
        <w:t>grounds to believe that the reporting or public disclosure of such information was necessary for revealing a breach.</w:t>
      </w:r>
      <w:r w:rsidR="003A17DF" w:rsidRPr="00833419">
        <w:rPr>
          <w:rFonts w:eastAsia="Times New Roman"/>
          <w:lang w:val="en-GB" w:eastAsia="sl-SI"/>
        </w:rPr>
        <w:t>”</w:t>
      </w:r>
    </w:p>
    <w:p w14:paraId="3517B639" w14:textId="77777777" w:rsidR="00816225" w:rsidRDefault="00B63303" w:rsidP="00BB4076">
      <w:pPr>
        <w:jc w:val="both"/>
        <w:rPr>
          <w:rFonts w:cstheme="minorHAnsi"/>
          <w:lang w:val="en-GB"/>
        </w:rPr>
      </w:pPr>
      <w:r w:rsidRPr="00833419">
        <w:rPr>
          <w:rFonts w:cstheme="minorHAnsi"/>
          <w:lang w:val="en-GB"/>
        </w:rPr>
        <w:t>Imagine you are the first instance judge, who hears the defamation case.</w:t>
      </w:r>
    </w:p>
    <w:p w14:paraId="1D66A719" w14:textId="3C204336" w:rsidR="00BB4076" w:rsidRPr="00816225" w:rsidRDefault="00816225" w:rsidP="00BB4076">
      <w:pPr>
        <w:jc w:val="both"/>
        <w:rPr>
          <w:rFonts w:cstheme="minorHAnsi"/>
          <w:bCs/>
          <w:color w:val="000000"/>
          <w:szCs w:val="19"/>
          <w:lang w:val="en-GB"/>
        </w:rPr>
      </w:pPr>
      <w:r w:rsidRPr="00833419">
        <w:rPr>
          <w:rFonts w:cstheme="minorHAnsi"/>
          <w:bCs/>
          <w:color w:val="000000"/>
          <w:szCs w:val="19"/>
          <w:lang w:val="en-GB"/>
        </w:rPr>
        <w:t>Questions:</w:t>
      </w:r>
      <w:r w:rsidR="00B5289B" w:rsidRPr="00833419">
        <w:rPr>
          <w:rFonts w:cstheme="minorHAnsi"/>
          <w:lang w:val="en-GB"/>
        </w:rPr>
        <w:t xml:space="preserve"> </w:t>
      </w:r>
    </w:p>
    <w:p w14:paraId="6C490FED" w14:textId="78E66C7F" w:rsidR="00BB4076" w:rsidRPr="00833419" w:rsidRDefault="00BB4076" w:rsidP="00BB4076">
      <w:pPr>
        <w:pStyle w:val="Odstavekseznama"/>
        <w:numPr>
          <w:ilvl w:val="0"/>
          <w:numId w:val="12"/>
        </w:numPr>
        <w:jc w:val="both"/>
        <w:rPr>
          <w:rFonts w:cstheme="minorHAnsi"/>
          <w:lang w:val="en-GB"/>
        </w:rPr>
      </w:pPr>
      <w:r w:rsidRPr="00833419">
        <w:rPr>
          <w:rFonts w:cstheme="minorHAnsi"/>
          <w:lang w:val="en-GB"/>
        </w:rPr>
        <w:t>What are the competing interests at stake?</w:t>
      </w:r>
      <w:r w:rsidR="006559DF" w:rsidRPr="00833419">
        <w:rPr>
          <w:rFonts w:cstheme="minorHAnsi"/>
          <w:lang w:val="en-GB"/>
        </w:rPr>
        <w:t xml:space="preserve"> Which interests would you give precedence in this case and why?</w:t>
      </w:r>
    </w:p>
    <w:p w14:paraId="28A61E57" w14:textId="77777777" w:rsidR="0010175A" w:rsidRPr="00833419" w:rsidRDefault="0010175A" w:rsidP="0010175A">
      <w:pPr>
        <w:pStyle w:val="Odstavekseznama"/>
        <w:jc w:val="both"/>
        <w:rPr>
          <w:rFonts w:cstheme="minorHAnsi"/>
          <w:lang w:val="en-GB"/>
        </w:rPr>
      </w:pPr>
    </w:p>
    <w:p w14:paraId="680492CA" w14:textId="3AC05AB9" w:rsidR="0081656D" w:rsidRPr="00A834E8" w:rsidRDefault="0097513C" w:rsidP="00A834E8">
      <w:pPr>
        <w:pStyle w:val="Odstavekseznama"/>
        <w:numPr>
          <w:ilvl w:val="0"/>
          <w:numId w:val="12"/>
        </w:numPr>
        <w:jc w:val="both"/>
        <w:rPr>
          <w:rFonts w:cstheme="minorHAnsi"/>
          <w:lang w:val="en-GB"/>
        </w:rPr>
      </w:pPr>
      <w:r w:rsidRPr="00833419">
        <w:rPr>
          <w:rFonts w:cstheme="minorHAnsi"/>
          <w:lang w:val="en-GB"/>
        </w:rPr>
        <w:t>C</w:t>
      </w:r>
      <w:r w:rsidR="00312424" w:rsidRPr="00833419">
        <w:rPr>
          <w:rFonts w:cstheme="minorHAnsi"/>
          <w:lang w:val="en-GB"/>
        </w:rPr>
        <w:t xml:space="preserve">onfident that the CJEU has </w:t>
      </w:r>
      <w:r w:rsidRPr="00833419">
        <w:rPr>
          <w:rFonts w:cstheme="minorHAnsi"/>
          <w:lang w:val="en-GB"/>
        </w:rPr>
        <w:t xml:space="preserve">jurisdiction, you decide to </w:t>
      </w:r>
      <w:r w:rsidR="00ED2FCA" w:rsidRPr="00833419">
        <w:rPr>
          <w:rFonts w:cstheme="minorHAnsi"/>
          <w:lang w:val="en-GB"/>
        </w:rPr>
        <w:t>stay the proceedings and refer question</w:t>
      </w:r>
      <w:r w:rsidR="0081656D" w:rsidRPr="00833419">
        <w:rPr>
          <w:rFonts w:cstheme="minorHAnsi"/>
          <w:lang w:val="en-GB"/>
        </w:rPr>
        <w:t>(</w:t>
      </w:r>
      <w:r w:rsidR="00ED2FCA" w:rsidRPr="00833419">
        <w:rPr>
          <w:rFonts w:cstheme="minorHAnsi"/>
          <w:lang w:val="en-GB"/>
        </w:rPr>
        <w:t>s</w:t>
      </w:r>
      <w:r w:rsidR="0081656D" w:rsidRPr="00833419">
        <w:rPr>
          <w:rFonts w:cstheme="minorHAnsi"/>
          <w:lang w:val="en-GB"/>
        </w:rPr>
        <w:t>)</w:t>
      </w:r>
      <w:r w:rsidR="00ED2FCA" w:rsidRPr="00833419">
        <w:rPr>
          <w:rFonts w:cstheme="minorHAnsi"/>
          <w:lang w:val="en-GB"/>
        </w:rPr>
        <w:t xml:space="preserve"> </w:t>
      </w:r>
      <w:r w:rsidR="002807B8" w:rsidRPr="00833419">
        <w:rPr>
          <w:rFonts w:cstheme="minorHAnsi"/>
          <w:lang w:val="en-GB"/>
        </w:rPr>
        <w:t>for preliminary ruling Article 267 of the TFEU.</w:t>
      </w:r>
      <w:r w:rsidRPr="00833419">
        <w:rPr>
          <w:rFonts w:cstheme="minorHAnsi"/>
          <w:lang w:val="en-GB"/>
        </w:rPr>
        <w:t xml:space="preserve"> </w:t>
      </w:r>
      <w:r w:rsidR="00415932" w:rsidRPr="00A834E8">
        <w:rPr>
          <w:rFonts w:cstheme="minorHAnsi"/>
          <w:lang w:val="en-GB"/>
        </w:rPr>
        <w:t>You are not sure how to interpret</w:t>
      </w:r>
      <w:r w:rsidR="00387981" w:rsidRPr="00A834E8">
        <w:rPr>
          <w:rFonts w:cstheme="minorHAnsi"/>
          <w:lang w:val="en-GB"/>
        </w:rPr>
        <w:t xml:space="preserve"> Article 21 of the </w:t>
      </w:r>
      <w:r w:rsidR="00415932" w:rsidRPr="00A834E8">
        <w:rPr>
          <w:rFonts w:cstheme="minorHAnsi"/>
          <w:lang w:val="en-GB"/>
        </w:rPr>
        <w:t>of the Whistleblower Directive</w:t>
      </w:r>
      <w:r w:rsidR="00387981" w:rsidRPr="00A834E8">
        <w:rPr>
          <w:rFonts w:cstheme="minorHAnsi"/>
          <w:lang w:val="en-GB"/>
        </w:rPr>
        <w:t xml:space="preserve">, which conditions </w:t>
      </w:r>
      <w:r w:rsidR="00A834E8" w:rsidRPr="00A834E8">
        <w:rPr>
          <w:rFonts w:cstheme="minorHAnsi"/>
          <w:lang w:val="en-GB"/>
        </w:rPr>
        <w:t>protection of whistleblowers upon existence of “</w:t>
      </w:r>
      <w:r w:rsidR="0086587B" w:rsidRPr="00A834E8">
        <w:rPr>
          <w:lang w:val="en-GB"/>
        </w:rPr>
        <w:t xml:space="preserve">reasonable </w:t>
      </w:r>
      <w:r w:rsidR="0086587B" w:rsidRPr="00A834E8">
        <w:rPr>
          <w:rFonts w:eastAsia="Times New Roman"/>
          <w:lang w:val="en-GB" w:eastAsia="sl-SI"/>
        </w:rPr>
        <w:t>grounds to believe that the reporting or public disclosure of such information was necessary for revealing a breach.”</w:t>
      </w:r>
      <w:r w:rsidR="00A834E8" w:rsidRPr="00A834E8">
        <w:rPr>
          <w:rFonts w:eastAsia="Times New Roman"/>
          <w:lang w:val="en-GB" w:eastAsia="sl-SI"/>
        </w:rPr>
        <w:t xml:space="preserve"> </w:t>
      </w:r>
      <w:r w:rsidR="00B5289B" w:rsidRPr="00A834E8">
        <w:rPr>
          <w:rFonts w:cstheme="minorHAnsi"/>
          <w:lang w:val="en-GB"/>
        </w:rPr>
        <w:t>How would you frame the question</w:t>
      </w:r>
      <w:r w:rsidR="002807B8" w:rsidRPr="00A834E8">
        <w:rPr>
          <w:rFonts w:cstheme="minorHAnsi"/>
          <w:lang w:val="en-GB"/>
        </w:rPr>
        <w:t>(s)?</w:t>
      </w:r>
    </w:p>
    <w:p w14:paraId="5AEAF3AB" w14:textId="77777777" w:rsidR="0081656D" w:rsidRPr="00833419" w:rsidRDefault="0081656D" w:rsidP="0081656D">
      <w:pPr>
        <w:pStyle w:val="Odstavekseznama"/>
        <w:jc w:val="both"/>
        <w:rPr>
          <w:rFonts w:cstheme="minorHAnsi"/>
          <w:lang w:val="en-GB"/>
        </w:rPr>
      </w:pPr>
    </w:p>
    <w:p w14:paraId="7D597702" w14:textId="4A179767" w:rsidR="00AD5029" w:rsidRPr="00833419" w:rsidRDefault="00AD5029" w:rsidP="00AD5029">
      <w:pPr>
        <w:jc w:val="both"/>
        <w:rPr>
          <w:rFonts w:cstheme="minorHAnsi"/>
          <w:bCs/>
          <w:color w:val="000000"/>
          <w:szCs w:val="19"/>
          <w:lang w:val="en-GB"/>
        </w:rPr>
      </w:pPr>
      <w:r w:rsidRPr="00833419">
        <w:rPr>
          <w:rFonts w:cstheme="minorHAnsi"/>
          <w:bCs/>
          <w:color w:val="000000"/>
          <w:szCs w:val="19"/>
          <w:lang w:val="en-GB"/>
        </w:rPr>
        <w:t xml:space="preserve">Her whistleblowing experience made her more sensitive about this topic. She became a supporter of the global Pirate Party movement and even a member of the Pirate Party of </w:t>
      </w:r>
      <w:proofErr w:type="spellStart"/>
      <w:r w:rsidRPr="00833419">
        <w:rPr>
          <w:rFonts w:cstheme="minorHAnsi"/>
          <w:bCs/>
          <w:color w:val="000000"/>
          <w:szCs w:val="19"/>
          <w:lang w:val="en-GB"/>
        </w:rPr>
        <w:t>Yuland</w:t>
      </w:r>
      <w:proofErr w:type="spellEnd"/>
      <w:r w:rsidRPr="00833419">
        <w:rPr>
          <w:rFonts w:cstheme="minorHAnsi"/>
          <w:bCs/>
          <w:color w:val="000000"/>
          <w:szCs w:val="19"/>
          <w:lang w:val="en-GB"/>
        </w:rPr>
        <w:t>,</w:t>
      </w:r>
      <w:r w:rsidR="00993AAE">
        <w:rPr>
          <w:rFonts w:cstheme="minorHAnsi"/>
          <w:bCs/>
          <w:color w:val="000000"/>
          <w:szCs w:val="19"/>
          <w:lang w:val="en-GB"/>
        </w:rPr>
        <w:t xml:space="preserve"> an</w:t>
      </w:r>
      <w:r w:rsidR="00A1606D">
        <w:rPr>
          <w:rFonts w:cstheme="minorHAnsi"/>
          <w:bCs/>
          <w:color w:val="000000"/>
          <w:szCs w:val="19"/>
          <w:lang w:val="en-GB"/>
        </w:rPr>
        <w:t xml:space="preserve"> extra-parliamentary party</w:t>
      </w:r>
      <w:r w:rsidR="00653908">
        <w:rPr>
          <w:rFonts w:cstheme="minorHAnsi"/>
          <w:bCs/>
          <w:color w:val="000000"/>
          <w:szCs w:val="19"/>
          <w:lang w:val="en-GB"/>
        </w:rPr>
        <w:t>, winning 0,5% of votes in the last general elections.</w:t>
      </w:r>
      <w:r w:rsidR="00A1606D">
        <w:rPr>
          <w:rFonts w:cstheme="minorHAnsi"/>
          <w:bCs/>
          <w:color w:val="000000"/>
          <w:szCs w:val="19"/>
          <w:lang w:val="en-GB"/>
        </w:rPr>
        <w:t xml:space="preserve"> </w:t>
      </w:r>
      <w:r w:rsidR="00993AAE">
        <w:rPr>
          <w:rFonts w:cstheme="minorHAnsi"/>
          <w:bCs/>
          <w:color w:val="000000"/>
          <w:szCs w:val="19"/>
          <w:lang w:val="en-GB"/>
        </w:rPr>
        <w:t>S</w:t>
      </w:r>
      <w:r w:rsidRPr="00833419">
        <w:rPr>
          <w:rFonts w:cstheme="minorHAnsi"/>
          <w:bCs/>
          <w:color w:val="000000"/>
          <w:szCs w:val="19"/>
          <w:lang w:val="en-GB"/>
        </w:rPr>
        <w:t xml:space="preserve">he felt that this is the only party that genuinely supports policies for protection of Whistleblowers. She supported other policies of the Pirate party, including the idea to do away with copyright. On her private Facebook account, she started to share lectures and podcasts supporting the idea. She even appeared at the rally of Pirate party supporters and had a speech advocating the abandonment of copyright. Among other, she said: “The time has come that we, as a society, stop supporting big tech and the copyright-based industry. It is time for civil disobedience.” </w:t>
      </w:r>
    </w:p>
    <w:p w14:paraId="6C378574" w14:textId="77777777" w:rsidR="00AD5029" w:rsidRPr="00833419" w:rsidRDefault="00AD5029" w:rsidP="00AD5029">
      <w:pPr>
        <w:jc w:val="both"/>
        <w:rPr>
          <w:rFonts w:cstheme="minorHAnsi"/>
          <w:bCs/>
          <w:color w:val="000000"/>
          <w:szCs w:val="19"/>
          <w:lang w:val="en-GB"/>
        </w:rPr>
      </w:pPr>
      <w:r w:rsidRPr="00833419">
        <w:rPr>
          <w:rFonts w:cstheme="minorHAnsi"/>
          <w:bCs/>
          <w:color w:val="000000"/>
          <w:szCs w:val="19"/>
          <w:lang w:val="en-GB"/>
        </w:rPr>
        <w:t xml:space="preserve">One of the employees at the </w:t>
      </w:r>
      <w:proofErr w:type="spellStart"/>
      <w:r w:rsidRPr="00833419">
        <w:rPr>
          <w:rFonts w:cstheme="minorHAnsi"/>
          <w:bCs/>
          <w:color w:val="000000"/>
          <w:szCs w:val="19"/>
          <w:lang w:val="en-GB"/>
        </w:rPr>
        <w:t>Justville</w:t>
      </w:r>
      <w:proofErr w:type="spellEnd"/>
      <w:r w:rsidRPr="00833419">
        <w:rPr>
          <w:rFonts w:cstheme="minorHAnsi"/>
          <w:bCs/>
          <w:color w:val="000000"/>
          <w:szCs w:val="19"/>
          <w:lang w:val="en-GB"/>
        </w:rPr>
        <w:t xml:space="preserve"> District court showed her speech and Facebook posts to the court president. The court president decided to initiate disciplinary proceedings against Ana for publicly diminishing the impartial image of the judiciary. The president argued that Ana openly advocated the breach of copyright and thus publicly called for the disregard of the binding legal order. She also publicly appeared at the rally of a political party, which was contrary to the principle of neutrality, </w:t>
      </w:r>
      <w:r w:rsidRPr="00833419">
        <w:rPr>
          <w:rFonts w:cstheme="minorHAnsi"/>
          <w:bCs/>
          <w:color w:val="000000"/>
          <w:szCs w:val="19"/>
          <w:lang w:val="en-GB"/>
        </w:rPr>
        <w:lastRenderedPageBreak/>
        <w:t>required from civil servants, employed in the public sector. Such duty of neutrality is even more important for those working within the judiciary, an independent branch of power. In the disciplinary proceedings before the Public Sector Disciplinary Court, Ana was facing different potential sanctions, including the termination of her employment contract.</w:t>
      </w:r>
    </w:p>
    <w:p w14:paraId="2907AB8D" w14:textId="77777777" w:rsidR="00AD5029" w:rsidRDefault="00AD5029" w:rsidP="00AD5029">
      <w:pPr>
        <w:jc w:val="both"/>
        <w:rPr>
          <w:rFonts w:cstheme="minorHAnsi"/>
          <w:bCs/>
          <w:color w:val="000000"/>
          <w:szCs w:val="19"/>
          <w:lang w:val="en-GB"/>
        </w:rPr>
      </w:pPr>
      <w:r w:rsidRPr="00833419">
        <w:rPr>
          <w:rFonts w:cstheme="minorHAnsi"/>
          <w:bCs/>
          <w:color w:val="000000"/>
          <w:szCs w:val="19"/>
          <w:lang w:val="en-GB"/>
        </w:rPr>
        <w:t xml:space="preserve">Imagine you are a judge of the Public Sector Disciplinary Court hearing Ana’s case. In her written submissions to the court, Ana is relying on Article 21 (4) of the Whistleblower protection Act and on the Charter of Fundamental Rights. </w:t>
      </w:r>
    </w:p>
    <w:p w14:paraId="264D162B" w14:textId="6B495EA7" w:rsidR="00AD5029" w:rsidRPr="00DC21ED" w:rsidRDefault="00DC21ED" w:rsidP="00DC21ED">
      <w:pPr>
        <w:jc w:val="both"/>
        <w:rPr>
          <w:rFonts w:cstheme="minorHAnsi"/>
          <w:bCs/>
          <w:color w:val="000000"/>
          <w:szCs w:val="19"/>
          <w:lang w:val="en-GB"/>
        </w:rPr>
      </w:pPr>
      <w:r>
        <w:rPr>
          <w:rFonts w:cstheme="minorHAnsi"/>
          <w:bCs/>
          <w:color w:val="000000"/>
          <w:szCs w:val="19"/>
          <w:lang w:val="en-GB"/>
        </w:rPr>
        <w:t>Questions:</w:t>
      </w:r>
    </w:p>
    <w:p w14:paraId="76583035" w14:textId="588C45F6" w:rsidR="00AD5029" w:rsidRPr="00833419" w:rsidRDefault="00AD5029" w:rsidP="009B49CD">
      <w:pPr>
        <w:pStyle w:val="Odstavekseznama"/>
        <w:numPr>
          <w:ilvl w:val="0"/>
          <w:numId w:val="16"/>
        </w:numPr>
        <w:jc w:val="both"/>
        <w:rPr>
          <w:rFonts w:cstheme="minorHAnsi"/>
          <w:bCs/>
          <w:color w:val="000000"/>
          <w:szCs w:val="19"/>
          <w:lang w:val="en-GB"/>
        </w:rPr>
      </w:pPr>
      <w:r w:rsidRPr="00833419">
        <w:rPr>
          <w:rFonts w:cstheme="minorHAnsi"/>
          <w:bCs/>
          <w:color w:val="000000"/>
          <w:szCs w:val="19"/>
          <w:lang w:val="en-GB"/>
        </w:rPr>
        <w:t>If Ana were a judge, in your opinion, would such behaviour be appropriate?</w:t>
      </w:r>
    </w:p>
    <w:p w14:paraId="303E5120" w14:textId="77777777" w:rsidR="00AD5029" w:rsidRPr="00833419" w:rsidRDefault="00AD5029" w:rsidP="009B49CD">
      <w:pPr>
        <w:pStyle w:val="Odstavekseznama"/>
        <w:jc w:val="both"/>
        <w:rPr>
          <w:rFonts w:cstheme="minorHAnsi"/>
          <w:bCs/>
          <w:color w:val="000000"/>
          <w:szCs w:val="19"/>
          <w:lang w:val="en-GB"/>
        </w:rPr>
      </w:pPr>
    </w:p>
    <w:p w14:paraId="61BAF371" w14:textId="01081AED" w:rsidR="00AD5029" w:rsidRPr="00833419" w:rsidRDefault="00AD5029" w:rsidP="009B49CD">
      <w:pPr>
        <w:pStyle w:val="Odstavekseznama"/>
        <w:numPr>
          <w:ilvl w:val="0"/>
          <w:numId w:val="16"/>
        </w:numPr>
        <w:jc w:val="both"/>
        <w:rPr>
          <w:rFonts w:cstheme="minorHAnsi"/>
          <w:bCs/>
          <w:color w:val="000000"/>
          <w:szCs w:val="19"/>
          <w:lang w:val="en-GB"/>
        </w:rPr>
      </w:pPr>
      <w:r w:rsidRPr="00833419">
        <w:rPr>
          <w:rFonts w:cstheme="minorHAnsi"/>
          <w:bCs/>
          <w:color w:val="000000"/>
          <w:szCs w:val="19"/>
          <w:lang w:val="en-GB"/>
        </w:rPr>
        <w:t xml:space="preserve">Ana is not a judge. Should different standards of freedom of expression and the duty of restraint apply to her situation? Why/why not.   </w:t>
      </w:r>
    </w:p>
    <w:p w14:paraId="5C1A2671" w14:textId="77777777" w:rsidR="00AD5029" w:rsidRPr="00833419" w:rsidRDefault="00AD5029" w:rsidP="009B49CD">
      <w:pPr>
        <w:pStyle w:val="Odstavekseznama"/>
        <w:jc w:val="both"/>
        <w:rPr>
          <w:rFonts w:cstheme="minorHAnsi"/>
          <w:bCs/>
          <w:color w:val="000000"/>
          <w:szCs w:val="19"/>
          <w:lang w:val="en-GB"/>
        </w:rPr>
      </w:pPr>
    </w:p>
    <w:p w14:paraId="7241A892" w14:textId="7E730F04" w:rsidR="00AD5029" w:rsidRPr="00833419" w:rsidRDefault="00AD5029" w:rsidP="009B49CD">
      <w:pPr>
        <w:pStyle w:val="Odstavekseznama"/>
        <w:numPr>
          <w:ilvl w:val="0"/>
          <w:numId w:val="16"/>
        </w:numPr>
        <w:jc w:val="both"/>
        <w:rPr>
          <w:rFonts w:cstheme="minorHAnsi"/>
          <w:bCs/>
          <w:color w:val="000000"/>
          <w:szCs w:val="19"/>
          <w:lang w:val="en-GB"/>
        </w:rPr>
      </w:pPr>
      <w:r w:rsidRPr="00833419">
        <w:rPr>
          <w:rFonts w:cstheme="minorHAnsi"/>
          <w:bCs/>
          <w:color w:val="000000"/>
          <w:szCs w:val="19"/>
          <w:lang w:val="en-GB"/>
        </w:rPr>
        <w:t>Under Article 21</w:t>
      </w:r>
      <w:r w:rsidR="003D1678">
        <w:rPr>
          <w:rFonts w:cstheme="minorHAnsi"/>
          <w:bCs/>
          <w:color w:val="000000"/>
          <w:szCs w:val="19"/>
          <w:lang w:val="en-GB"/>
        </w:rPr>
        <w:t xml:space="preserve"> </w:t>
      </w:r>
      <w:r w:rsidRPr="00833419">
        <w:rPr>
          <w:rFonts w:cstheme="minorHAnsi"/>
          <w:bCs/>
          <w:color w:val="000000"/>
          <w:szCs w:val="19"/>
          <w:lang w:val="en-GB"/>
        </w:rPr>
        <w:t>(4) of the Whistleblower Protection Act</w:t>
      </w:r>
      <w:r w:rsidR="00431598">
        <w:rPr>
          <w:rFonts w:cstheme="minorHAnsi"/>
          <w:bCs/>
          <w:color w:val="000000"/>
          <w:szCs w:val="19"/>
          <w:lang w:val="en-GB"/>
        </w:rPr>
        <w:t xml:space="preserve"> and Article</w:t>
      </w:r>
      <w:r w:rsidR="00525245">
        <w:rPr>
          <w:rFonts w:cstheme="minorHAnsi"/>
          <w:bCs/>
          <w:color w:val="000000"/>
          <w:szCs w:val="19"/>
          <w:lang w:val="en-GB"/>
        </w:rPr>
        <w:t xml:space="preserve"> 21 (5)</w:t>
      </w:r>
      <w:r w:rsidR="002C5A65">
        <w:rPr>
          <w:rFonts w:cstheme="minorHAnsi"/>
          <w:bCs/>
          <w:color w:val="000000"/>
          <w:szCs w:val="19"/>
          <w:lang w:val="en-GB"/>
        </w:rPr>
        <w:t xml:space="preserve"> of the Whistleblower Directive</w:t>
      </w:r>
      <w:r w:rsidRPr="00833419">
        <w:rPr>
          <w:rFonts w:cstheme="minorHAnsi"/>
          <w:bCs/>
          <w:color w:val="000000"/>
          <w:szCs w:val="19"/>
          <w:lang w:val="en-GB"/>
        </w:rPr>
        <w:t xml:space="preserve">, any detriment to the Whistleblower is presumed to be made in </w:t>
      </w:r>
      <w:r w:rsidRPr="00833419">
        <w:rPr>
          <w:rFonts w:eastAsia="Times New Roman" w:cstheme="minorHAnsi"/>
          <w:lang w:val="en-GB" w:eastAsia="sl-SI"/>
        </w:rPr>
        <w:t xml:space="preserve">retaliation for the report or the public disclosure. Provide arguments for the court president, showing that the measure was unrelated to the act of whistleblowing. What </w:t>
      </w:r>
      <w:proofErr w:type="gramStart"/>
      <w:r w:rsidRPr="00833419">
        <w:rPr>
          <w:rFonts w:eastAsia="Times New Roman" w:cstheme="minorHAnsi"/>
          <w:lang w:val="en-GB" w:eastAsia="sl-SI"/>
        </w:rPr>
        <w:t>are</w:t>
      </w:r>
      <w:proofErr w:type="gramEnd"/>
      <w:r w:rsidRPr="00833419">
        <w:rPr>
          <w:rFonts w:eastAsia="Times New Roman" w:cstheme="minorHAnsi"/>
          <w:lang w:val="en-GB" w:eastAsia="sl-SI"/>
        </w:rPr>
        <w:t xml:space="preserve"> the counter-arguments against this claim?</w:t>
      </w:r>
    </w:p>
    <w:p w14:paraId="1AF958A8" w14:textId="427E9E7C" w:rsidR="00056EEA" w:rsidRPr="00833419" w:rsidRDefault="00056EEA" w:rsidP="007343C0">
      <w:pPr>
        <w:jc w:val="both"/>
        <w:rPr>
          <w:rFonts w:eastAsia="Times New Roman" w:cstheme="minorHAnsi"/>
          <w:lang w:val="en-GB" w:eastAsia="sl-SI"/>
        </w:rPr>
      </w:pPr>
    </w:p>
    <w:p w14:paraId="0E92D736" w14:textId="77777777" w:rsidR="00056EEA" w:rsidRPr="00833419" w:rsidRDefault="00056EEA" w:rsidP="007343C0">
      <w:pPr>
        <w:jc w:val="both"/>
        <w:rPr>
          <w:rFonts w:eastAsia="Times New Roman" w:cstheme="minorHAnsi"/>
          <w:lang w:val="en-GB" w:eastAsia="sl-SI"/>
        </w:rPr>
      </w:pPr>
    </w:p>
    <w:p w14:paraId="39EAB26A" w14:textId="464D6761" w:rsidR="001719C0" w:rsidRPr="00833419" w:rsidRDefault="00056EEA" w:rsidP="00D0240A">
      <w:pPr>
        <w:jc w:val="both"/>
        <w:rPr>
          <w:rFonts w:cstheme="minorHAnsi"/>
          <w:lang w:val="en-GB"/>
        </w:rPr>
      </w:pPr>
      <w:r w:rsidRPr="00833419">
        <w:rPr>
          <w:rFonts w:cstheme="minorHAnsi"/>
          <w:lang w:val="en-GB"/>
        </w:rPr>
        <w:t xml:space="preserve">List of appendices: </w:t>
      </w:r>
    </w:p>
    <w:p w14:paraId="38644A2F" w14:textId="77777777" w:rsidR="00056EEA" w:rsidRPr="00833419" w:rsidRDefault="00056EEA" w:rsidP="00056EEA">
      <w:pPr>
        <w:pStyle w:val="Odstavekseznama"/>
        <w:numPr>
          <w:ilvl w:val="0"/>
          <w:numId w:val="15"/>
        </w:numPr>
        <w:rPr>
          <w:rFonts w:cstheme="minorHAnsi"/>
          <w:lang w:val="en-GB"/>
        </w:rPr>
      </w:pPr>
      <w:r w:rsidRPr="00833419">
        <w:rPr>
          <w:rFonts w:cstheme="minorHAnsi"/>
          <w:lang w:val="en-GB"/>
        </w:rPr>
        <w:t>Appendix 1: Relevant national legislation</w:t>
      </w:r>
    </w:p>
    <w:p w14:paraId="49C185F2" w14:textId="77777777" w:rsidR="00056EEA" w:rsidRPr="00833419" w:rsidRDefault="00056EEA" w:rsidP="00056EEA">
      <w:pPr>
        <w:pStyle w:val="Odstavekseznama"/>
        <w:numPr>
          <w:ilvl w:val="0"/>
          <w:numId w:val="15"/>
        </w:numPr>
        <w:rPr>
          <w:rFonts w:cstheme="minorHAnsi"/>
          <w:lang w:val="en-GB"/>
        </w:rPr>
      </w:pPr>
      <w:r w:rsidRPr="00833419">
        <w:rPr>
          <w:rFonts w:cstheme="minorHAnsi"/>
          <w:lang w:val="en-GB"/>
        </w:rPr>
        <w:t xml:space="preserve">Appendix 2: Whistleblower Directive - </w:t>
      </w:r>
      <w:hyperlink r:id="rId12" w:history="1">
        <w:r w:rsidRPr="00833419">
          <w:rPr>
            <w:rStyle w:val="Hiperpovezava"/>
            <w:rFonts w:cstheme="minorHAnsi"/>
            <w:lang w:val="en-GB"/>
          </w:rPr>
          <w:t>https://eur-lex.europa.eu/legal-content/EN/TXT/?uri=celex%3A32019L1937</w:t>
        </w:r>
      </w:hyperlink>
      <w:r w:rsidRPr="00833419">
        <w:rPr>
          <w:rFonts w:cstheme="minorHAnsi"/>
          <w:lang w:val="en-GB"/>
        </w:rPr>
        <w:t xml:space="preserve"> </w:t>
      </w:r>
    </w:p>
    <w:p w14:paraId="700E9887" w14:textId="66B85C80" w:rsidR="00056EEA" w:rsidRPr="00833419" w:rsidRDefault="00056EEA" w:rsidP="00056EEA">
      <w:pPr>
        <w:pStyle w:val="Odstavekseznama"/>
        <w:numPr>
          <w:ilvl w:val="0"/>
          <w:numId w:val="15"/>
        </w:numPr>
        <w:rPr>
          <w:rFonts w:cstheme="minorHAnsi"/>
          <w:lang w:val="en-GB"/>
        </w:rPr>
      </w:pPr>
      <w:r w:rsidRPr="00833419">
        <w:rPr>
          <w:rFonts w:cstheme="minorHAnsi"/>
          <w:lang w:val="en-GB"/>
        </w:rPr>
        <w:t>Appendix 3: Other relevant provisions of EU law</w:t>
      </w:r>
    </w:p>
    <w:p w14:paraId="66EA409A" w14:textId="77777777" w:rsidR="00056EEA" w:rsidRPr="00833419" w:rsidRDefault="00056EEA" w:rsidP="00056EEA">
      <w:pPr>
        <w:rPr>
          <w:rFonts w:cstheme="minorHAnsi"/>
          <w:lang w:val="en-GB"/>
        </w:rPr>
      </w:pPr>
    </w:p>
    <w:p w14:paraId="5C1FC9D7" w14:textId="77777777" w:rsidR="001719C0" w:rsidRPr="00833419" w:rsidRDefault="001719C0" w:rsidP="00D0240A">
      <w:pPr>
        <w:jc w:val="both"/>
        <w:rPr>
          <w:rFonts w:cstheme="minorHAnsi"/>
          <w:lang w:val="en-GB"/>
        </w:rPr>
      </w:pPr>
    </w:p>
    <w:p w14:paraId="12286B2C" w14:textId="77777777" w:rsidR="00EC5F30" w:rsidRPr="00833419" w:rsidRDefault="00EC5F30" w:rsidP="00D0240A">
      <w:pPr>
        <w:jc w:val="both"/>
        <w:rPr>
          <w:rFonts w:cstheme="minorHAnsi"/>
          <w:lang w:val="en-GB"/>
        </w:rPr>
      </w:pPr>
    </w:p>
    <w:p w14:paraId="39EE0C6F" w14:textId="6D7D6DB9" w:rsidR="00D0240A" w:rsidRPr="00833419" w:rsidRDefault="00D0240A" w:rsidP="00A91FB6">
      <w:pPr>
        <w:jc w:val="both"/>
        <w:rPr>
          <w:rFonts w:cstheme="minorHAnsi"/>
          <w:lang w:val="en-GB"/>
        </w:rPr>
      </w:pPr>
    </w:p>
    <w:p w14:paraId="7FE73D20" w14:textId="0BE14A5C" w:rsidR="00141F3F" w:rsidRPr="00833419" w:rsidRDefault="00141F3F" w:rsidP="00A91FB6">
      <w:pPr>
        <w:jc w:val="both"/>
        <w:rPr>
          <w:rFonts w:cstheme="minorHAnsi"/>
          <w:lang w:val="en-GB"/>
        </w:rPr>
      </w:pPr>
    </w:p>
    <w:p w14:paraId="1A24E6E8" w14:textId="77777777" w:rsidR="00141F3F" w:rsidRPr="00833419" w:rsidRDefault="00141F3F" w:rsidP="00A91FB6">
      <w:pPr>
        <w:jc w:val="both"/>
        <w:rPr>
          <w:rFonts w:cstheme="minorHAnsi"/>
          <w:lang w:val="en-GB"/>
        </w:rPr>
      </w:pPr>
    </w:p>
    <w:p w14:paraId="2B85CE30" w14:textId="2C50AD0F" w:rsidR="00056EEA" w:rsidRPr="00833419" w:rsidRDefault="00056EEA" w:rsidP="00AF05C9">
      <w:pPr>
        <w:jc w:val="both"/>
        <w:rPr>
          <w:rFonts w:cstheme="minorHAnsi"/>
          <w:lang w:val="en-GB"/>
        </w:rPr>
      </w:pPr>
    </w:p>
    <w:p w14:paraId="31194D4A" w14:textId="77777777" w:rsidR="00DC21ED" w:rsidRDefault="00DC21ED">
      <w:pPr>
        <w:rPr>
          <w:rFonts w:cstheme="minorHAnsi"/>
          <w:lang w:val="en-GB"/>
        </w:rPr>
      </w:pPr>
      <w:r>
        <w:rPr>
          <w:rFonts w:cstheme="minorHAnsi"/>
          <w:lang w:val="en-GB"/>
        </w:rPr>
        <w:br w:type="page"/>
      </w:r>
    </w:p>
    <w:p w14:paraId="1543370A" w14:textId="1EE778FD" w:rsidR="00E90B7B" w:rsidRPr="00833419" w:rsidRDefault="001719C0" w:rsidP="00056EEA">
      <w:pPr>
        <w:jc w:val="center"/>
        <w:rPr>
          <w:rFonts w:cstheme="minorHAnsi"/>
          <w:lang w:val="en-GB"/>
        </w:rPr>
      </w:pPr>
      <w:r w:rsidRPr="00833419">
        <w:rPr>
          <w:rFonts w:cstheme="minorHAnsi"/>
          <w:lang w:val="en-GB"/>
        </w:rPr>
        <w:lastRenderedPageBreak/>
        <w:t>Appendix 1: Relevant national legislation</w:t>
      </w:r>
    </w:p>
    <w:p w14:paraId="4421928A" w14:textId="7AD1A1AE" w:rsidR="00E90B7B" w:rsidRPr="00833419" w:rsidRDefault="001E071E" w:rsidP="001719C0">
      <w:pPr>
        <w:jc w:val="center"/>
        <w:rPr>
          <w:rFonts w:cstheme="minorHAnsi"/>
          <w:b/>
          <w:lang w:val="en-GB"/>
        </w:rPr>
      </w:pPr>
      <w:r w:rsidRPr="00833419">
        <w:rPr>
          <w:rFonts w:cstheme="minorHAnsi"/>
          <w:b/>
          <w:lang w:val="en-GB"/>
        </w:rPr>
        <w:t>Whistleblower</w:t>
      </w:r>
      <w:r w:rsidR="00E90B7B" w:rsidRPr="00833419">
        <w:rPr>
          <w:rFonts w:cstheme="minorHAnsi"/>
          <w:b/>
          <w:lang w:val="en-GB"/>
        </w:rPr>
        <w:t xml:space="preserve"> Protection Act</w:t>
      </w:r>
    </w:p>
    <w:p w14:paraId="5323545E" w14:textId="77777777" w:rsidR="00E90B7B" w:rsidRPr="00833419" w:rsidRDefault="00E90B7B" w:rsidP="00E90B7B">
      <w:pPr>
        <w:jc w:val="center"/>
        <w:rPr>
          <w:rFonts w:cstheme="minorHAnsi"/>
          <w:u w:val="single"/>
          <w:lang w:val="en-GB"/>
        </w:rPr>
      </w:pPr>
      <w:r w:rsidRPr="00833419">
        <w:rPr>
          <w:rFonts w:cstheme="minorHAnsi"/>
          <w:u w:val="single"/>
          <w:lang w:val="en-GB"/>
        </w:rPr>
        <w:t>Chapter 1</w:t>
      </w:r>
    </w:p>
    <w:p w14:paraId="168549AF" w14:textId="5C4B630A" w:rsidR="00E90B7B" w:rsidRPr="00833419" w:rsidRDefault="00E90B7B" w:rsidP="00E90B7B">
      <w:pPr>
        <w:jc w:val="center"/>
        <w:rPr>
          <w:rFonts w:cstheme="minorHAnsi"/>
          <w:u w:val="single"/>
          <w:lang w:val="en-GB"/>
        </w:rPr>
      </w:pPr>
      <w:r w:rsidRPr="00833419">
        <w:rPr>
          <w:rFonts w:cstheme="minorHAnsi"/>
          <w:u w:val="single"/>
          <w:lang w:val="en-GB"/>
        </w:rPr>
        <w:t>General provisions</w:t>
      </w:r>
    </w:p>
    <w:p w14:paraId="7E4C9E30" w14:textId="5C5DA487" w:rsidR="00E90B7B" w:rsidRPr="00833419" w:rsidRDefault="00E90B7B" w:rsidP="00E90B7B">
      <w:pPr>
        <w:jc w:val="center"/>
        <w:rPr>
          <w:rFonts w:cstheme="minorHAnsi"/>
          <w:lang w:val="en-GB"/>
        </w:rPr>
      </w:pPr>
      <w:r w:rsidRPr="00833419">
        <w:rPr>
          <w:rFonts w:cstheme="minorHAnsi"/>
          <w:lang w:val="en-GB"/>
        </w:rPr>
        <w:t>Article 1</w:t>
      </w:r>
    </w:p>
    <w:p w14:paraId="6AFE7CBA" w14:textId="603B1BF6" w:rsidR="00E90B7B" w:rsidRPr="00833419" w:rsidRDefault="00E90B7B" w:rsidP="00E90B7B">
      <w:pPr>
        <w:jc w:val="center"/>
        <w:rPr>
          <w:rFonts w:cstheme="minorHAnsi"/>
          <w:lang w:val="en-GB"/>
        </w:rPr>
      </w:pPr>
      <w:r w:rsidRPr="00833419">
        <w:rPr>
          <w:rFonts w:cstheme="minorHAnsi"/>
          <w:lang w:val="en-GB"/>
        </w:rPr>
        <w:t>(Content of the Law)</w:t>
      </w:r>
    </w:p>
    <w:p w14:paraId="7108C1A4" w14:textId="07F2A39F" w:rsidR="00E90B7B" w:rsidRPr="00833419" w:rsidRDefault="00E90B7B" w:rsidP="00E90B7B">
      <w:pPr>
        <w:jc w:val="both"/>
        <w:rPr>
          <w:rFonts w:cstheme="minorHAnsi"/>
          <w:lang w:val="en-GB"/>
        </w:rPr>
      </w:pPr>
      <w:r w:rsidRPr="00833419">
        <w:rPr>
          <w:rFonts w:cstheme="minorHAnsi"/>
          <w:lang w:val="en-GB"/>
        </w:rPr>
        <w:t>This Act, with a view to protecting the public interest, establishes the methods and procedures for reporting and dealing with breaches of regulations of which individuals become aware in the work environment, and for protecting individuals who report or publicly disclose information about a breach.</w:t>
      </w:r>
    </w:p>
    <w:p w14:paraId="31D56FAC" w14:textId="77777777" w:rsidR="00E90B7B" w:rsidRPr="00833419" w:rsidRDefault="00E90B7B" w:rsidP="00E90B7B">
      <w:pPr>
        <w:jc w:val="center"/>
        <w:rPr>
          <w:rFonts w:cstheme="minorHAnsi"/>
          <w:lang w:val="en-GB"/>
        </w:rPr>
      </w:pPr>
      <w:r w:rsidRPr="00833419">
        <w:rPr>
          <w:rFonts w:cstheme="minorHAnsi"/>
          <w:lang w:val="en-GB"/>
        </w:rPr>
        <w:t>Article 2</w:t>
      </w:r>
    </w:p>
    <w:p w14:paraId="5DB2259C" w14:textId="34326198" w:rsidR="00E90B7B" w:rsidRPr="00833419" w:rsidRDefault="00E90B7B" w:rsidP="00E90B7B">
      <w:pPr>
        <w:jc w:val="center"/>
        <w:rPr>
          <w:rFonts w:cstheme="minorHAnsi"/>
          <w:lang w:val="en-GB"/>
        </w:rPr>
      </w:pPr>
      <w:r w:rsidRPr="00833419">
        <w:rPr>
          <w:rFonts w:cstheme="minorHAnsi"/>
          <w:lang w:val="en-GB"/>
        </w:rPr>
        <w:t>(Transposition of a European Union Directive)</w:t>
      </w:r>
    </w:p>
    <w:p w14:paraId="1659B2DB" w14:textId="1FE78462" w:rsidR="00E90B7B" w:rsidRPr="00833419" w:rsidRDefault="00E90B7B" w:rsidP="00E90B7B">
      <w:pPr>
        <w:jc w:val="both"/>
        <w:rPr>
          <w:rFonts w:cstheme="minorHAnsi"/>
          <w:lang w:val="en-GB"/>
        </w:rPr>
      </w:pPr>
      <w:r w:rsidRPr="00833419">
        <w:rPr>
          <w:rFonts w:cstheme="minorHAnsi"/>
          <w:lang w:val="en-GB"/>
        </w:rPr>
        <w:t xml:space="preserve">This Act transposes Directive (EU) 2019/1937 of the European Parliament and of the Council of 23 October 2019 on the protection of persons who report infringements of Union law (OJ L 305, 26.11.2019, p. 17; hereinafter: Directive 2019/1937/EU) into the legal order of the Republic of </w:t>
      </w:r>
      <w:proofErr w:type="spellStart"/>
      <w:r w:rsidRPr="00833419">
        <w:rPr>
          <w:rFonts w:cstheme="minorHAnsi"/>
          <w:lang w:val="en-GB"/>
        </w:rPr>
        <w:t>Yuland</w:t>
      </w:r>
      <w:proofErr w:type="spellEnd"/>
      <w:r w:rsidRPr="00833419">
        <w:rPr>
          <w:rFonts w:cstheme="minorHAnsi"/>
          <w:lang w:val="en-GB"/>
        </w:rPr>
        <w:t>.</w:t>
      </w:r>
    </w:p>
    <w:p w14:paraId="0A2F4597" w14:textId="77777777" w:rsidR="00E90B7B" w:rsidRPr="00833419" w:rsidRDefault="00E90B7B" w:rsidP="00E90B7B">
      <w:pPr>
        <w:jc w:val="both"/>
        <w:rPr>
          <w:rFonts w:cstheme="minorHAnsi"/>
          <w:lang w:val="en-GB"/>
        </w:rPr>
      </w:pPr>
    </w:p>
    <w:p w14:paraId="181BA108" w14:textId="0FCE5F66" w:rsidR="00E90B7B" w:rsidRPr="00833419" w:rsidRDefault="00E90B7B" w:rsidP="00E90B7B">
      <w:pPr>
        <w:jc w:val="center"/>
        <w:rPr>
          <w:rFonts w:cstheme="minorHAnsi"/>
          <w:lang w:val="en-GB"/>
        </w:rPr>
      </w:pPr>
      <w:r w:rsidRPr="00833419">
        <w:rPr>
          <w:rFonts w:cstheme="minorHAnsi"/>
          <w:lang w:val="en-GB"/>
        </w:rPr>
        <w:t>Article 3</w:t>
      </w:r>
    </w:p>
    <w:p w14:paraId="75838E1C" w14:textId="36A3766C" w:rsidR="00E90B7B" w:rsidRPr="00833419" w:rsidRDefault="00E90B7B" w:rsidP="00E90B7B">
      <w:pPr>
        <w:jc w:val="center"/>
        <w:rPr>
          <w:rFonts w:cstheme="minorHAnsi"/>
          <w:lang w:val="en-GB"/>
        </w:rPr>
      </w:pPr>
      <w:r w:rsidRPr="00833419">
        <w:rPr>
          <w:rFonts w:cstheme="minorHAnsi"/>
          <w:lang w:val="en-GB"/>
        </w:rPr>
        <w:t>(Scope of application)</w:t>
      </w:r>
    </w:p>
    <w:p w14:paraId="60500CEE" w14:textId="411C6B87" w:rsidR="00026EEB" w:rsidRPr="00833419" w:rsidRDefault="00E90B7B" w:rsidP="00026EEB">
      <w:pPr>
        <w:jc w:val="both"/>
        <w:rPr>
          <w:rFonts w:cstheme="minorHAnsi"/>
          <w:lang w:val="en-GB"/>
        </w:rPr>
      </w:pPr>
      <w:r w:rsidRPr="00833419">
        <w:rPr>
          <w:rFonts w:cstheme="minorHAnsi"/>
          <w:lang w:val="en-GB"/>
        </w:rPr>
        <w:t xml:space="preserve">This Act shall apply to the reporting of any </w:t>
      </w:r>
      <w:r w:rsidR="00026EEB" w:rsidRPr="00833419">
        <w:rPr>
          <w:rFonts w:cstheme="minorHAnsi"/>
          <w:lang w:val="en-GB"/>
        </w:rPr>
        <w:t>breaches of</w:t>
      </w:r>
      <w:r w:rsidRPr="00833419">
        <w:rPr>
          <w:rFonts w:cstheme="minorHAnsi"/>
          <w:lang w:val="en-GB"/>
        </w:rPr>
        <w:t xml:space="preserve"> laws and regulations applicable in the Republic of </w:t>
      </w:r>
      <w:proofErr w:type="spellStart"/>
      <w:r w:rsidRPr="00833419">
        <w:rPr>
          <w:rFonts w:cstheme="minorHAnsi"/>
          <w:lang w:val="en-GB"/>
        </w:rPr>
        <w:t>Yuland</w:t>
      </w:r>
      <w:proofErr w:type="spellEnd"/>
      <w:r w:rsidRPr="00833419">
        <w:rPr>
          <w:rFonts w:cstheme="minorHAnsi"/>
          <w:lang w:val="en-GB"/>
        </w:rPr>
        <w:t xml:space="preserve"> (hereinafter referred to as "</w:t>
      </w:r>
      <w:r w:rsidR="00026EEB" w:rsidRPr="00833419">
        <w:rPr>
          <w:rFonts w:cstheme="minorHAnsi"/>
          <w:lang w:val="en-GB"/>
        </w:rPr>
        <w:t>breach</w:t>
      </w:r>
      <w:r w:rsidRPr="00833419">
        <w:rPr>
          <w:rFonts w:cstheme="minorHAnsi"/>
          <w:lang w:val="en-GB"/>
        </w:rPr>
        <w:t>").</w:t>
      </w:r>
    </w:p>
    <w:p w14:paraId="44DC62D9" w14:textId="77777777" w:rsidR="00026EEB" w:rsidRPr="00833419" w:rsidRDefault="00026EEB" w:rsidP="00026EEB">
      <w:pPr>
        <w:jc w:val="center"/>
        <w:rPr>
          <w:rFonts w:cstheme="minorHAnsi"/>
          <w:lang w:val="en-GB"/>
        </w:rPr>
      </w:pPr>
    </w:p>
    <w:p w14:paraId="272DEFE3" w14:textId="5F2FB916" w:rsidR="00026EEB" w:rsidRPr="00833419" w:rsidRDefault="00026EEB" w:rsidP="00026EEB">
      <w:pPr>
        <w:jc w:val="center"/>
        <w:rPr>
          <w:rFonts w:cstheme="minorHAnsi"/>
          <w:lang w:val="en-GB"/>
        </w:rPr>
      </w:pPr>
      <w:r w:rsidRPr="00833419">
        <w:rPr>
          <w:rFonts w:cstheme="minorHAnsi"/>
          <w:lang w:val="en-GB"/>
        </w:rPr>
        <w:t>Article 5</w:t>
      </w:r>
    </w:p>
    <w:p w14:paraId="4122446C" w14:textId="7EBAD08E" w:rsidR="00026EEB" w:rsidRPr="00833419" w:rsidRDefault="00026EEB" w:rsidP="00026EEB">
      <w:pPr>
        <w:jc w:val="center"/>
        <w:rPr>
          <w:rFonts w:cstheme="minorHAnsi"/>
          <w:lang w:val="en-GB"/>
        </w:rPr>
      </w:pPr>
      <w:r w:rsidRPr="00833419">
        <w:rPr>
          <w:rFonts w:cstheme="minorHAnsi"/>
          <w:lang w:val="en-GB"/>
        </w:rPr>
        <w:t>(Definitions)</w:t>
      </w:r>
    </w:p>
    <w:p w14:paraId="5FDFCA86" w14:textId="4009C169" w:rsidR="00375650" w:rsidRPr="00833419" w:rsidRDefault="00375650" w:rsidP="00375650">
      <w:pPr>
        <w:jc w:val="both"/>
        <w:rPr>
          <w:rFonts w:cstheme="minorHAnsi"/>
          <w:lang w:val="en-GB"/>
        </w:rPr>
      </w:pPr>
      <w:r w:rsidRPr="00833419">
        <w:rPr>
          <w:rFonts w:cstheme="minorHAnsi"/>
          <w:lang w:val="en-GB"/>
        </w:rPr>
        <w:t>[…]</w:t>
      </w:r>
    </w:p>
    <w:p w14:paraId="7D84A659" w14:textId="33E0D213" w:rsidR="00026EEB" w:rsidRPr="00833419" w:rsidRDefault="00026EEB" w:rsidP="00026EEB">
      <w:pPr>
        <w:jc w:val="both"/>
        <w:rPr>
          <w:rFonts w:eastAsia="Times New Roman" w:cstheme="minorHAnsi"/>
          <w:lang w:val="en-GB" w:eastAsia="sl-SI"/>
        </w:rPr>
      </w:pPr>
      <w:r w:rsidRPr="00833419">
        <w:rPr>
          <w:rFonts w:eastAsia="Times New Roman" w:cstheme="minorHAnsi"/>
          <w:lang w:val="en-GB" w:eastAsia="sl-SI"/>
        </w:rPr>
        <w:t xml:space="preserve">(4) ‘internal reporting’ means the oral or written communication of information on breaches within a legal entity in the private or public </w:t>
      </w:r>
      <w:proofErr w:type="gramStart"/>
      <w:r w:rsidRPr="00833419">
        <w:rPr>
          <w:rFonts w:eastAsia="Times New Roman" w:cstheme="minorHAnsi"/>
          <w:lang w:val="en-GB" w:eastAsia="sl-SI"/>
        </w:rPr>
        <w:t>sector;</w:t>
      </w:r>
      <w:proofErr w:type="gramEnd"/>
    </w:p>
    <w:p w14:paraId="6AC6BAC7" w14:textId="59AC316B" w:rsidR="00026EEB" w:rsidRPr="00833419" w:rsidRDefault="00026EEB" w:rsidP="00026EEB">
      <w:pPr>
        <w:jc w:val="both"/>
        <w:rPr>
          <w:rFonts w:eastAsia="Times New Roman" w:cstheme="minorHAnsi"/>
          <w:lang w:val="en-GB" w:eastAsia="sl-SI"/>
        </w:rPr>
      </w:pPr>
      <w:r w:rsidRPr="00833419">
        <w:rPr>
          <w:rFonts w:eastAsia="Times New Roman" w:cstheme="minorHAnsi"/>
          <w:lang w:val="en-GB" w:eastAsia="sl-SI"/>
        </w:rPr>
        <w:t xml:space="preserve">(5) ‘external reporting’ means the oral or written communication of information on breaches to the competent </w:t>
      </w:r>
      <w:proofErr w:type="gramStart"/>
      <w:r w:rsidRPr="00833419">
        <w:rPr>
          <w:rFonts w:eastAsia="Times New Roman" w:cstheme="minorHAnsi"/>
          <w:lang w:val="en-GB" w:eastAsia="sl-SI"/>
        </w:rPr>
        <w:t>authorities;</w:t>
      </w:r>
      <w:proofErr w:type="gramEnd"/>
    </w:p>
    <w:p w14:paraId="0D8C7BEE" w14:textId="514DA3D9" w:rsidR="00026EEB" w:rsidRPr="00833419" w:rsidRDefault="00026EEB" w:rsidP="00026EEB">
      <w:pPr>
        <w:jc w:val="both"/>
        <w:rPr>
          <w:rFonts w:eastAsia="Times New Roman" w:cstheme="minorHAnsi"/>
          <w:lang w:val="en-GB" w:eastAsia="sl-SI"/>
        </w:rPr>
      </w:pPr>
      <w:r w:rsidRPr="00833419">
        <w:rPr>
          <w:rFonts w:eastAsia="Times New Roman" w:cstheme="minorHAnsi"/>
          <w:lang w:val="en-GB" w:eastAsia="sl-SI"/>
        </w:rPr>
        <w:t>(6) ‘public disclosure’ or ‘to publicly disclose’ means the making of information on breaches available in the public domain.</w:t>
      </w:r>
    </w:p>
    <w:p w14:paraId="2A939958" w14:textId="67AC2D43" w:rsidR="00375650" w:rsidRPr="00833419" w:rsidRDefault="00375650" w:rsidP="00026EEB">
      <w:pPr>
        <w:jc w:val="both"/>
        <w:rPr>
          <w:rFonts w:cstheme="minorHAnsi"/>
          <w:lang w:val="en-GB"/>
        </w:rPr>
      </w:pPr>
      <w:r w:rsidRPr="00833419">
        <w:rPr>
          <w:rFonts w:cstheme="minorHAnsi"/>
          <w:lang w:val="en-GB"/>
        </w:rPr>
        <w:t>[…]</w:t>
      </w:r>
    </w:p>
    <w:p w14:paraId="7A9485CA" w14:textId="4FCEC9DB" w:rsidR="001E071E" w:rsidRPr="00833419" w:rsidRDefault="001E071E" w:rsidP="001E071E">
      <w:pPr>
        <w:jc w:val="center"/>
        <w:rPr>
          <w:rFonts w:cstheme="minorHAnsi"/>
          <w:lang w:val="en-GB"/>
        </w:rPr>
      </w:pPr>
    </w:p>
    <w:p w14:paraId="2E93A9F8" w14:textId="77777777" w:rsidR="001E071E" w:rsidRPr="00833419" w:rsidRDefault="001E071E" w:rsidP="001E071E">
      <w:pPr>
        <w:jc w:val="center"/>
        <w:rPr>
          <w:rFonts w:cstheme="minorHAnsi"/>
          <w:u w:val="single"/>
          <w:lang w:val="en-GB"/>
        </w:rPr>
      </w:pPr>
      <w:r w:rsidRPr="00833419">
        <w:rPr>
          <w:rFonts w:cstheme="minorHAnsi"/>
          <w:u w:val="single"/>
          <w:lang w:val="en-GB"/>
        </w:rPr>
        <w:t>Chapter 2</w:t>
      </w:r>
    </w:p>
    <w:p w14:paraId="156E4B67" w14:textId="6F6790C6" w:rsidR="001E071E" w:rsidRPr="00833419" w:rsidRDefault="001E071E" w:rsidP="001E071E">
      <w:pPr>
        <w:jc w:val="center"/>
        <w:rPr>
          <w:rFonts w:cstheme="minorHAnsi"/>
          <w:u w:val="single"/>
          <w:lang w:val="en-GB"/>
        </w:rPr>
      </w:pPr>
      <w:r w:rsidRPr="00833419">
        <w:rPr>
          <w:rFonts w:cstheme="minorHAnsi"/>
          <w:u w:val="single"/>
          <w:lang w:val="en-GB"/>
        </w:rPr>
        <w:t>Conditions for the protection of the applicant</w:t>
      </w:r>
    </w:p>
    <w:p w14:paraId="5BAFAEB8" w14:textId="4BB89D61" w:rsidR="001E071E" w:rsidRPr="00833419" w:rsidRDefault="00026EEB" w:rsidP="001E071E">
      <w:pPr>
        <w:jc w:val="center"/>
        <w:rPr>
          <w:rFonts w:cstheme="minorHAnsi"/>
          <w:lang w:val="en-GB"/>
        </w:rPr>
      </w:pPr>
      <w:r w:rsidRPr="00833419">
        <w:rPr>
          <w:rFonts w:cstheme="minorHAnsi"/>
          <w:lang w:val="en-GB"/>
        </w:rPr>
        <w:lastRenderedPageBreak/>
        <w:t>Article 6</w:t>
      </w:r>
    </w:p>
    <w:p w14:paraId="7C3B1A1F" w14:textId="0AB1E0CA" w:rsidR="001E071E" w:rsidRPr="00833419" w:rsidRDefault="001E071E" w:rsidP="001E071E">
      <w:pPr>
        <w:jc w:val="center"/>
        <w:rPr>
          <w:rFonts w:cstheme="minorHAnsi"/>
          <w:lang w:val="en-GB"/>
        </w:rPr>
      </w:pPr>
      <w:r w:rsidRPr="00833419">
        <w:rPr>
          <w:rFonts w:cstheme="minorHAnsi"/>
          <w:lang w:val="en-GB"/>
        </w:rPr>
        <w:t>(</w:t>
      </w:r>
      <w:r w:rsidR="00AB6A9D" w:rsidRPr="00833419">
        <w:rPr>
          <w:rFonts w:cstheme="minorHAnsi"/>
          <w:lang w:val="en-GB"/>
        </w:rPr>
        <w:t>Whistleblower</w:t>
      </w:r>
      <w:r w:rsidRPr="00833419">
        <w:rPr>
          <w:rFonts w:cstheme="minorHAnsi"/>
          <w:lang w:val="en-GB"/>
        </w:rPr>
        <w:t xml:space="preserve"> and conditions for protection)</w:t>
      </w:r>
    </w:p>
    <w:p w14:paraId="679220DD" w14:textId="77777777" w:rsidR="001E071E" w:rsidRPr="00833419" w:rsidRDefault="001E071E" w:rsidP="001E071E">
      <w:pPr>
        <w:jc w:val="both"/>
        <w:rPr>
          <w:rFonts w:cstheme="minorHAnsi"/>
          <w:lang w:val="en-GB"/>
        </w:rPr>
      </w:pPr>
      <w:r w:rsidRPr="00833419">
        <w:rPr>
          <w:rFonts w:cstheme="minorHAnsi"/>
          <w:lang w:val="en-GB"/>
        </w:rPr>
        <w:t>(1) A whistleblower is a natural person who reports or publicly discloses information about an infringement obtained in his or her working environment.</w:t>
      </w:r>
    </w:p>
    <w:p w14:paraId="57B40FDD" w14:textId="4743B33A" w:rsidR="001E071E" w:rsidRPr="00833419" w:rsidRDefault="001E071E" w:rsidP="001E071E">
      <w:pPr>
        <w:jc w:val="both"/>
        <w:rPr>
          <w:rFonts w:cstheme="minorHAnsi"/>
          <w:lang w:val="en-GB"/>
        </w:rPr>
      </w:pPr>
      <w:r w:rsidRPr="00833419">
        <w:rPr>
          <w:rFonts w:cstheme="minorHAnsi"/>
          <w:lang w:val="en-GB"/>
        </w:rPr>
        <w:t>(2) A whistleblower shall be entitled to protection under this Act if he or she, on reasonable grounds, believed that the reported information about the infringement was true at the time of reporting and made an internal report under Article 7 of this Act, an external report under section 10 of this Act, or publicly disclosed information about the infringement under section 15 of this Act.</w:t>
      </w:r>
    </w:p>
    <w:p w14:paraId="4AED71F3" w14:textId="7B1BE117" w:rsidR="001E071E" w:rsidRPr="00833419" w:rsidRDefault="001E071E" w:rsidP="001E071E">
      <w:pPr>
        <w:jc w:val="both"/>
        <w:rPr>
          <w:rFonts w:cstheme="minorHAnsi"/>
          <w:lang w:val="en-GB"/>
        </w:rPr>
      </w:pPr>
      <w:r w:rsidRPr="00833419">
        <w:rPr>
          <w:rFonts w:cstheme="minorHAnsi"/>
          <w:lang w:val="en-GB"/>
        </w:rPr>
        <w:t>(3) A whistleblower shall not be entitled to protection under this Act if the whistleblower has made a notification two or more years after the cessation of the infringement.</w:t>
      </w:r>
    </w:p>
    <w:p w14:paraId="3E2E6372" w14:textId="479567E7" w:rsidR="001E071E" w:rsidRPr="00833419" w:rsidRDefault="001E071E" w:rsidP="001E071E">
      <w:pPr>
        <w:jc w:val="both"/>
        <w:rPr>
          <w:rFonts w:cstheme="minorHAnsi"/>
          <w:lang w:val="en-GB"/>
        </w:rPr>
      </w:pPr>
      <w:r w:rsidRPr="00833419">
        <w:rPr>
          <w:rFonts w:cstheme="minorHAnsi"/>
          <w:lang w:val="en-GB"/>
        </w:rPr>
        <w:t xml:space="preserve">(4) Intermediaries and related persons shall also be entitled to protection under this Act if it is likely that retaliatory measures have been or may be taken against them </w:t>
      </w:r>
      <w:r w:rsidR="00892B9C" w:rsidRPr="00833419">
        <w:rPr>
          <w:rFonts w:cstheme="minorHAnsi"/>
          <w:lang w:val="en-GB"/>
        </w:rPr>
        <w:t>because of</w:t>
      </w:r>
      <w:r w:rsidRPr="00833419">
        <w:rPr>
          <w:rFonts w:cstheme="minorHAnsi"/>
          <w:lang w:val="en-GB"/>
        </w:rPr>
        <w:t xml:space="preserve"> their association with the applicant.</w:t>
      </w:r>
    </w:p>
    <w:p w14:paraId="2051CEE1" w14:textId="265E8FEF" w:rsidR="001E071E" w:rsidRPr="00833419" w:rsidRDefault="001E071E" w:rsidP="00A91FB6">
      <w:pPr>
        <w:jc w:val="both"/>
        <w:rPr>
          <w:rFonts w:cstheme="minorHAnsi"/>
          <w:lang w:val="en-GB"/>
        </w:rPr>
      </w:pPr>
      <w:r w:rsidRPr="00833419">
        <w:rPr>
          <w:rFonts w:cstheme="minorHAnsi"/>
          <w:lang w:val="en-GB"/>
        </w:rPr>
        <w:t>(5) A whistleblower who has made an anonymous application but whose identity has subsequently been disclosed shall also be entitled to protection under this Act.</w:t>
      </w:r>
    </w:p>
    <w:p w14:paraId="13E0D3A9" w14:textId="1BBFED6F" w:rsidR="00AA21EB" w:rsidRPr="00833419" w:rsidRDefault="00AA21EB" w:rsidP="00AA21EB">
      <w:pPr>
        <w:spacing w:before="100" w:beforeAutospacing="1" w:after="100" w:afterAutospacing="1" w:line="240" w:lineRule="auto"/>
        <w:jc w:val="center"/>
        <w:rPr>
          <w:rFonts w:eastAsia="Times New Roman" w:cstheme="minorHAnsi"/>
          <w:u w:val="single"/>
          <w:lang w:val="en-GB" w:eastAsia="sl-SI"/>
        </w:rPr>
      </w:pPr>
      <w:r w:rsidRPr="00833419">
        <w:rPr>
          <w:rFonts w:eastAsia="Times New Roman" w:cstheme="minorHAnsi"/>
          <w:u w:val="single"/>
          <w:lang w:val="en-GB" w:eastAsia="sl-SI"/>
        </w:rPr>
        <w:t>Chapter 4</w:t>
      </w:r>
    </w:p>
    <w:p w14:paraId="62C13B90" w14:textId="32C13A71" w:rsidR="00AA21EB" w:rsidRPr="00833419" w:rsidRDefault="00AA21EB" w:rsidP="00AA21EB">
      <w:pPr>
        <w:spacing w:before="100" w:beforeAutospacing="1" w:after="100" w:afterAutospacing="1" w:line="240" w:lineRule="auto"/>
        <w:jc w:val="center"/>
        <w:rPr>
          <w:rFonts w:eastAsia="Times New Roman" w:cstheme="minorHAnsi"/>
          <w:u w:val="single"/>
          <w:lang w:val="en-GB" w:eastAsia="sl-SI"/>
        </w:rPr>
      </w:pPr>
      <w:r w:rsidRPr="00833419">
        <w:rPr>
          <w:rFonts w:eastAsia="Times New Roman" w:cstheme="minorHAnsi"/>
          <w:u w:val="single"/>
          <w:lang w:val="en-GB" w:eastAsia="sl-SI"/>
        </w:rPr>
        <w:t>External reporting</w:t>
      </w:r>
    </w:p>
    <w:p w14:paraId="21AAB020" w14:textId="7B03FB00" w:rsidR="00AA21EB" w:rsidRPr="00833419" w:rsidRDefault="00AA21EB" w:rsidP="00AA21EB">
      <w:pPr>
        <w:spacing w:before="100" w:beforeAutospacing="1" w:after="100" w:afterAutospacing="1" w:line="240" w:lineRule="auto"/>
        <w:jc w:val="center"/>
        <w:rPr>
          <w:rFonts w:eastAsia="Times New Roman" w:cstheme="minorHAnsi"/>
          <w:lang w:val="en-GB" w:eastAsia="sl-SI"/>
        </w:rPr>
      </w:pPr>
      <w:r w:rsidRPr="00833419">
        <w:rPr>
          <w:rFonts w:eastAsia="Times New Roman" w:cstheme="minorHAnsi"/>
          <w:lang w:val="en-GB" w:eastAsia="sl-SI"/>
        </w:rPr>
        <w:t>Article 10</w:t>
      </w:r>
    </w:p>
    <w:p w14:paraId="261CC6D1" w14:textId="42BEA066" w:rsidR="00AA21EB" w:rsidRPr="00833419" w:rsidRDefault="00AA21EB" w:rsidP="00AA21EB">
      <w:pPr>
        <w:spacing w:before="100" w:beforeAutospacing="1" w:after="100" w:afterAutospacing="1" w:line="240" w:lineRule="auto"/>
        <w:jc w:val="center"/>
        <w:rPr>
          <w:rFonts w:eastAsia="Times New Roman" w:cstheme="minorHAnsi"/>
          <w:lang w:val="en-GB" w:eastAsia="sl-SI"/>
        </w:rPr>
      </w:pPr>
      <w:r w:rsidRPr="00833419">
        <w:rPr>
          <w:rFonts w:eastAsia="Times New Roman" w:cstheme="minorHAnsi"/>
          <w:lang w:val="en-GB" w:eastAsia="sl-SI"/>
        </w:rPr>
        <w:t>(External reporting)</w:t>
      </w:r>
    </w:p>
    <w:p w14:paraId="7A3CCD88" w14:textId="76876EA6" w:rsidR="00AB6A9D" w:rsidRPr="00833419" w:rsidRDefault="00AA21EB" w:rsidP="00AB6A9D">
      <w:pPr>
        <w:jc w:val="both"/>
        <w:rPr>
          <w:rFonts w:cstheme="minorHAnsi"/>
          <w:lang w:val="en-GB" w:eastAsia="sl-SI"/>
        </w:rPr>
      </w:pPr>
      <w:r w:rsidRPr="00833419">
        <w:rPr>
          <w:rFonts w:cstheme="minorHAnsi"/>
          <w:lang w:val="en-GB" w:eastAsia="sl-SI"/>
        </w:rPr>
        <w:t xml:space="preserve">The whistleblower shall report </w:t>
      </w:r>
      <w:r w:rsidR="002A4BDD" w:rsidRPr="00833419">
        <w:rPr>
          <w:rFonts w:cstheme="minorHAnsi"/>
          <w:lang w:val="en-GB" w:eastAsia="sl-SI"/>
        </w:rPr>
        <w:t>information on breaches using the channels and procedures referred to in Articles 11 and 12, after having first reported through internal reporting channels, or by directly reporting through external reporting channels.</w:t>
      </w:r>
    </w:p>
    <w:p w14:paraId="34077DE9" w14:textId="77777777" w:rsidR="002A4BDD" w:rsidRPr="00833419" w:rsidRDefault="002A4BDD" w:rsidP="00AB6A9D">
      <w:pPr>
        <w:jc w:val="both"/>
        <w:rPr>
          <w:rFonts w:cstheme="minorHAnsi"/>
          <w:lang w:val="en-GB" w:eastAsia="sl-SI"/>
        </w:rPr>
      </w:pPr>
    </w:p>
    <w:p w14:paraId="06ED8FC5" w14:textId="665B860D" w:rsidR="00AB6A9D" w:rsidRPr="00833419" w:rsidRDefault="00AB6A9D" w:rsidP="00AB6A9D">
      <w:pPr>
        <w:jc w:val="center"/>
        <w:rPr>
          <w:rFonts w:cstheme="minorHAnsi"/>
          <w:lang w:val="en-GB" w:eastAsia="sl-SI"/>
        </w:rPr>
      </w:pPr>
      <w:r w:rsidRPr="00833419">
        <w:rPr>
          <w:rFonts w:cstheme="minorHAnsi"/>
          <w:lang w:val="en-GB" w:eastAsia="sl-SI"/>
        </w:rPr>
        <w:t>Article 11</w:t>
      </w:r>
    </w:p>
    <w:p w14:paraId="62B12615" w14:textId="223A6789" w:rsidR="00AB6A9D" w:rsidRPr="00833419" w:rsidRDefault="00AB6A9D" w:rsidP="00AB6A9D">
      <w:pPr>
        <w:jc w:val="center"/>
        <w:rPr>
          <w:rFonts w:cstheme="minorHAnsi"/>
          <w:lang w:val="en-GB" w:eastAsia="sl-SI"/>
        </w:rPr>
      </w:pPr>
      <w:r w:rsidRPr="00833419">
        <w:rPr>
          <w:rFonts w:cstheme="minorHAnsi"/>
          <w:lang w:val="en-GB" w:eastAsia="sl-SI"/>
        </w:rPr>
        <w:t>(External Reporting Authorities)</w:t>
      </w:r>
    </w:p>
    <w:p w14:paraId="410EEDF3" w14:textId="77777777" w:rsidR="00AB6A9D" w:rsidRPr="00833419" w:rsidRDefault="00AB6A9D" w:rsidP="00AB6A9D">
      <w:pPr>
        <w:jc w:val="both"/>
        <w:rPr>
          <w:rFonts w:cstheme="minorHAnsi"/>
          <w:lang w:val="en-GB" w:eastAsia="sl-SI"/>
        </w:rPr>
      </w:pPr>
    </w:p>
    <w:p w14:paraId="38EB37A2" w14:textId="4D275954" w:rsidR="00AB6A9D" w:rsidRPr="00833419" w:rsidRDefault="00AB6A9D" w:rsidP="00AB6A9D">
      <w:pPr>
        <w:jc w:val="both"/>
        <w:rPr>
          <w:rFonts w:cstheme="minorHAnsi"/>
          <w:lang w:val="en-GB" w:eastAsia="sl-SI"/>
        </w:rPr>
      </w:pPr>
      <w:r w:rsidRPr="00833419">
        <w:rPr>
          <w:rFonts w:cstheme="minorHAnsi"/>
          <w:lang w:val="en-GB" w:eastAsia="sl-SI"/>
        </w:rPr>
        <w:t>The external application bodies shall be:</w:t>
      </w:r>
    </w:p>
    <w:p w14:paraId="581B1019" w14:textId="4937C249" w:rsidR="00AB6A9D" w:rsidRPr="00833419" w:rsidRDefault="00AB6A9D" w:rsidP="00AB6A9D">
      <w:pPr>
        <w:jc w:val="both"/>
        <w:rPr>
          <w:rFonts w:cstheme="minorHAnsi"/>
          <w:lang w:val="en-GB" w:eastAsia="sl-SI"/>
        </w:rPr>
      </w:pPr>
      <w:r w:rsidRPr="00833419">
        <w:rPr>
          <w:rFonts w:cstheme="minorHAnsi"/>
          <w:lang w:val="en-GB" w:eastAsia="sl-SI"/>
        </w:rPr>
        <w:t xml:space="preserve">1. the Agency for Communications Networks and Services of the Republic of </w:t>
      </w:r>
      <w:proofErr w:type="spellStart"/>
      <w:r w:rsidR="00B14251" w:rsidRPr="00833419">
        <w:rPr>
          <w:rFonts w:cstheme="minorHAnsi"/>
          <w:lang w:val="en-GB" w:eastAsia="sl-SI"/>
        </w:rPr>
        <w:t>Yuland</w:t>
      </w:r>
      <w:proofErr w:type="spellEnd"/>
      <w:r w:rsidR="00642148" w:rsidRPr="00833419">
        <w:rPr>
          <w:rFonts w:cstheme="minorHAnsi"/>
          <w:lang w:val="en-GB" w:eastAsia="sl-SI"/>
        </w:rPr>
        <w:t>,</w:t>
      </w:r>
    </w:p>
    <w:p w14:paraId="7FB16D93" w14:textId="6DE57509" w:rsidR="00AB6A9D" w:rsidRPr="00833419" w:rsidRDefault="00AB6A9D" w:rsidP="00AB6A9D">
      <w:pPr>
        <w:jc w:val="both"/>
        <w:rPr>
          <w:rFonts w:cstheme="minorHAnsi"/>
          <w:lang w:val="en-GB" w:eastAsia="sl-SI"/>
        </w:rPr>
      </w:pPr>
      <w:r w:rsidRPr="00833419">
        <w:rPr>
          <w:rFonts w:cstheme="minorHAnsi"/>
          <w:lang w:val="en-GB" w:eastAsia="sl-SI"/>
        </w:rPr>
        <w:t>2. the Securit</w:t>
      </w:r>
      <w:r w:rsidR="00642148" w:rsidRPr="00833419">
        <w:rPr>
          <w:rFonts w:cstheme="minorHAnsi"/>
          <w:lang w:val="en-GB" w:eastAsia="sl-SI"/>
        </w:rPr>
        <w:t>ies Market Agency,</w:t>
      </w:r>
    </w:p>
    <w:p w14:paraId="54C599DC" w14:textId="2CA837D0" w:rsidR="00AB6A9D" w:rsidRPr="00833419" w:rsidRDefault="00AB6A9D" w:rsidP="00AB6A9D">
      <w:pPr>
        <w:jc w:val="both"/>
        <w:rPr>
          <w:rFonts w:cstheme="minorHAnsi"/>
          <w:lang w:val="en-GB" w:eastAsia="sl-SI"/>
        </w:rPr>
      </w:pPr>
      <w:r w:rsidRPr="00833419">
        <w:rPr>
          <w:rFonts w:cstheme="minorHAnsi"/>
          <w:lang w:val="en-GB" w:eastAsia="sl-SI"/>
        </w:rPr>
        <w:t xml:space="preserve">3. the Public Agency for the Protection of Competition of the Republic of </w:t>
      </w:r>
      <w:proofErr w:type="spellStart"/>
      <w:r w:rsidR="00B14251" w:rsidRPr="00833419">
        <w:rPr>
          <w:rFonts w:cstheme="minorHAnsi"/>
          <w:lang w:val="en-GB" w:eastAsia="sl-SI"/>
        </w:rPr>
        <w:t>Yuland</w:t>
      </w:r>
      <w:proofErr w:type="spellEnd"/>
      <w:r w:rsidRPr="00833419">
        <w:rPr>
          <w:rFonts w:cstheme="minorHAnsi"/>
          <w:lang w:val="en-GB" w:eastAsia="sl-SI"/>
        </w:rPr>
        <w:t>,</w:t>
      </w:r>
    </w:p>
    <w:p w14:paraId="48461B93" w14:textId="509D3D2C" w:rsidR="00AB6A9D" w:rsidRPr="00833419" w:rsidRDefault="00642148" w:rsidP="00AB6A9D">
      <w:pPr>
        <w:jc w:val="both"/>
        <w:rPr>
          <w:rFonts w:cstheme="minorHAnsi"/>
          <w:lang w:val="en-GB" w:eastAsia="sl-SI"/>
        </w:rPr>
      </w:pPr>
      <w:r w:rsidRPr="00833419">
        <w:rPr>
          <w:rFonts w:cstheme="minorHAnsi"/>
          <w:lang w:val="en-GB" w:eastAsia="sl-SI"/>
        </w:rPr>
        <w:t>[…]</w:t>
      </w:r>
    </w:p>
    <w:p w14:paraId="411D82F6" w14:textId="51BDCBDF" w:rsidR="00AB6A9D" w:rsidRPr="00833419" w:rsidRDefault="00AB6A9D" w:rsidP="00AB6A9D">
      <w:pPr>
        <w:jc w:val="both"/>
        <w:rPr>
          <w:rFonts w:cstheme="minorHAnsi"/>
          <w:lang w:val="en-GB" w:eastAsia="sl-SI"/>
        </w:rPr>
      </w:pPr>
      <w:r w:rsidRPr="00833419">
        <w:rPr>
          <w:rFonts w:cstheme="minorHAnsi"/>
          <w:lang w:val="en-GB" w:eastAsia="sl-SI"/>
        </w:rPr>
        <w:t>8. the State Audit Commission for the Audit of</w:t>
      </w:r>
      <w:r w:rsidR="00642148" w:rsidRPr="00833419">
        <w:rPr>
          <w:rFonts w:cstheme="minorHAnsi"/>
          <w:lang w:val="en-GB" w:eastAsia="sl-SI"/>
        </w:rPr>
        <w:t xml:space="preserve"> Public Procurement Procedures,</w:t>
      </w:r>
    </w:p>
    <w:p w14:paraId="41D86DEE" w14:textId="1EE458B4" w:rsidR="00AB6A9D" w:rsidRPr="00833419" w:rsidRDefault="00AB6A9D" w:rsidP="00AB6A9D">
      <w:pPr>
        <w:jc w:val="both"/>
        <w:rPr>
          <w:rFonts w:cstheme="minorHAnsi"/>
          <w:lang w:val="en-GB" w:eastAsia="sl-SI"/>
        </w:rPr>
      </w:pPr>
      <w:r w:rsidRPr="00833419">
        <w:rPr>
          <w:rFonts w:cstheme="minorHAnsi"/>
          <w:lang w:val="en-GB" w:eastAsia="sl-SI"/>
        </w:rPr>
        <w:t xml:space="preserve">11. the Office of the Republic of </w:t>
      </w:r>
      <w:proofErr w:type="spellStart"/>
      <w:r w:rsidR="00B14251" w:rsidRPr="00833419">
        <w:rPr>
          <w:rFonts w:cstheme="minorHAnsi"/>
          <w:lang w:val="en-GB" w:eastAsia="sl-SI"/>
        </w:rPr>
        <w:t>Yuland</w:t>
      </w:r>
      <w:proofErr w:type="spellEnd"/>
      <w:r w:rsidRPr="00833419">
        <w:rPr>
          <w:rFonts w:cstheme="minorHAnsi"/>
          <w:lang w:val="en-GB" w:eastAsia="sl-SI"/>
        </w:rPr>
        <w:t xml:space="preserve"> for the Prevention of Mo</w:t>
      </w:r>
      <w:r w:rsidR="00642148" w:rsidRPr="00833419">
        <w:rPr>
          <w:rFonts w:cstheme="minorHAnsi"/>
          <w:lang w:val="en-GB" w:eastAsia="sl-SI"/>
        </w:rPr>
        <w:t>ney Laundering,</w:t>
      </w:r>
    </w:p>
    <w:p w14:paraId="04403D82" w14:textId="3874819C" w:rsidR="00AB6A9D" w:rsidRPr="00833419" w:rsidRDefault="00AB6A9D" w:rsidP="00AB6A9D">
      <w:pPr>
        <w:jc w:val="both"/>
        <w:rPr>
          <w:rFonts w:cstheme="minorHAnsi"/>
          <w:lang w:val="en-GB" w:eastAsia="sl-SI"/>
        </w:rPr>
      </w:pPr>
      <w:r w:rsidRPr="00833419">
        <w:rPr>
          <w:rFonts w:cstheme="minorHAnsi"/>
          <w:lang w:val="en-GB" w:eastAsia="sl-SI"/>
        </w:rPr>
        <w:lastRenderedPageBreak/>
        <w:t>12</w:t>
      </w:r>
      <w:r w:rsidR="00642148" w:rsidRPr="00833419">
        <w:rPr>
          <w:rFonts w:cstheme="minorHAnsi"/>
          <w:lang w:val="en-GB" w:eastAsia="sl-SI"/>
        </w:rPr>
        <w:t>. the Information Commissioner,</w:t>
      </w:r>
    </w:p>
    <w:p w14:paraId="043679C8" w14:textId="6715F9D7" w:rsidR="00AB6A9D" w:rsidRPr="00833419" w:rsidRDefault="00AB6A9D" w:rsidP="00AB6A9D">
      <w:pPr>
        <w:jc w:val="both"/>
        <w:rPr>
          <w:rFonts w:cstheme="minorHAnsi"/>
          <w:lang w:val="en-GB" w:eastAsia="sl-SI"/>
        </w:rPr>
      </w:pPr>
      <w:r w:rsidRPr="00833419">
        <w:rPr>
          <w:rFonts w:cstheme="minorHAnsi"/>
          <w:lang w:val="en-GB" w:eastAsia="sl-SI"/>
        </w:rPr>
        <w:t xml:space="preserve">17. the Labour Inspectorate of the Republic of </w:t>
      </w:r>
      <w:proofErr w:type="spellStart"/>
      <w:r w:rsidR="00B14251" w:rsidRPr="00833419">
        <w:rPr>
          <w:rFonts w:cstheme="minorHAnsi"/>
          <w:lang w:val="en-GB" w:eastAsia="sl-SI"/>
        </w:rPr>
        <w:t>Yuland</w:t>
      </w:r>
      <w:proofErr w:type="spellEnd"/>
      <w:r w:rsidR="00642148" w:rsidRPr="00833419">
        <w:rPr>
          <w:rFonts w:cstheme="minorHAnsi"/>
          <w:lang w:val="en-GB" w:eastAsia="sl-SI"/>
        </w:rPr>
        <w:t>,</w:t>
      </w:r>
    </w:p>
    <w:p w14:paraId="38EA98D1" w14:textId="77777777" w:rsidR="00AB6A9D" w:rsidRPr="00833419" w:rsidRDefault="00AB6A9D" w:rsidP="00AB6A9D">
      <w:pPr>
        <w:jc w:val="both"/>
        <w:rPr>
          <w:rFonts w:cstheme="minorHAnsi"/>
          <w:lang w:val="en-GB" w:eastAsia="sl-SI"/>
        </w:rPr>
      </w:pPr>
      <w:r w:rsidRPr="00833419">
        <w:rPr>
          <w:rFonts w:cstheme="minorHAnsi"/>
          <w:lang w:val="en-GB" w:eastAsia="sl-SI"/>
        </w:rPr>
        <w:t>18. the Public Sector Inspectorate,</w:t>
      </w:r>
    </w:p>
    <w:p w14:paraId="4AD9810C" w14:textId="4B560C62" w:rsidR="00AB6A9D" w:rsidRPr="00833419" w:rsidRDefault="00642148" w:rsidP="00AB6A9D">
      <w:pPr>
        <w:jc w:val="both"/>
        <w:rPr>
          <w:rFonts w:cstheme="minorHAnsi"/>
          <w:lang w:val="en-GB" w:eastAsia="sl-SI"/>
        </w:rPr>
      </w:pPr>
      <w:r w:rsidRPr="00833419">
        <w:rPr>
          <w:rFonts w:cstheme="minorHAnsi"/>
          <w:lang w:val="en-GB" w:eastAsia="sl-SI"/>
        </w:rPr>
        <w:t>[…]</w:t>
      </w:r>
    </w:p>
    <w:p w14:paraId="60164932" w14:textId="58A66D8A" w:rsidR="00AB6A9D" w:rsidRPr="00833419" w:rsidRDefault="00AB6A9D" w:rsidP="00AB6A9D">
      <w:pPr>
        <w:jc w:val="both"/>
        <w:rPr>
          <w:rFonts w:cstheme="minorHAnsi"/>
          <w:lang w:val="en-GB" w:eastAsia="sl-SI"/>
        </w:rPr>
      </w:pPr>
      <w:r w:rsidRPr="00833419">
        <w:rPr>
          <w:rFonts w:cstheme="minorHAnsi"/>
          <w:lang w:val="en-GB" w:eastAsia="sl-SI"/>
        </w:rPr>
        <w:t xml:space="preserve">24. the </w:t>
      </w:r>
      <w:r w:rsidR="00CA052A" w:rsidRPr="00833419">
        <w:rPr>
          <w:rFonts w:cstheme="minorHAnsi"/>
          <w:lang w:val="en-GB" w:eastAsia="sl-SI"/>
        </w:rPr>
        <w:t xml:space="preserve">Anti-Corruption </w:t>
      </w:r>
      <w:r w:rsidRPr="00833419">
        <w:rPr>
          <w:rFonts w:cstheme="minorHAnsi"/>
          <w:lang w:val="en-GB" w:eastAsia="sl-SI"/>
        </w:rPr>
        <w:t xml:space="preserve">Commission </w:t>
      </w:r>
      <w:r w:rsidR="00CA052A" w:rsidRPr="00833419">
        <w:rPr>
          <w:rFonts w:cstheme="minorHAnsi"/>
          <w:lang w:val="en-GB" w:eastAsia="sl-SI"/>
        </w:rPr>
        <w:t xml:space="preserve">of </w:t>
      </w:r>
      <w:proofErr w:type="spellStart"/>
      <w:r w:rsidR="00CA052A" w:rsidRPr="00833419">
        <w:rPr>
          <w:rFonts w:cstheme="minorHAnsi"/>
          <w:lang w:val="en-GB" w:eastAsia="sl-SI"/>
        </w:rPr>
        <w:t>Yuland</w:t>
      </w:r>
      <w:proofErr w:type="spellEnd"/>
      <w:r w:rsidRPr="00833419">
        <w:rPr>
          <w:rFonts w:cstheme="minorHAnsi"/>
          <w:lang w:val="en-GB" w:eastAsia="sl-SI"/>
        </w:rPr>
        <w:t>.</w:t>
      </w:r>
    </w:p>
    <w:p w14:paraId="4B3E31A7" w14:textId="77777777" w:rsidR="00AA21EB" w:rsidRPr="00833419" w:rsidRDefault="00AA21EB" w:rsidP="00AA21EB">
      <w:pPr>
        <w:rPr>
          <w:rFonts w:cstheme="minorHAnsi"/>
          <w:lang w:val="en-GB" w:eastAsia="sl-SI"/>
        </w:rPr>
      </w:pPr>
    </w:p>
    <w:p w14:paraId="52A19A85" w14:textId="2A5D3DFB" w:rsidR="001E071E" w:rsidRPr="00833419" w:rsidRDefault="00AA21EB" w:rsidP="001E071E">
      <w:pPr>
        <w:spacing w:before="100" w:beforeAutospacing="1" w:after="100" w:afterAutospacing="1" w:line="240" w:lineRule="auto"/>
        <w:jc w:val="center"/>
        <w:rPr>
          <w:rFonts w:eastAsia="Times New Roman" w:cstheme="minorHAnsi"/>
          <w:u w:val="single"/>
          <w:lang w:val="en-GB" w:eastAsia="sl-SI"/>
        </w:rPr>
      </w:pPr>
      <w:r w:rsidRPr="00833419">
        <w:rPr>
          <w:rFonts w:eastAsia="Times New Roman" w:cstheme="minorHAnsi"/>
          <w:u w:val="single"/>
          <w:lang w:val="en-GB" w:eastAsia="sl-SI"/>
        </w:rPr>
        <w:t>Chapter 5</w:t>
      </w:r>
    </w:p>
    <w:p w14:paraId="1CB1B0CB" w14:textId="0AE83252" w:rsidR="001E071E" w:rsidRPr="00833419" w:rsidRDefault="001E071E" w:rsidP="001E071E">
      <w:pPr>
        <w:spacing w:before="100" w:beforeAutospacing="1" w:after="100" w:afterAutospacing="1" w:line="240" w:lineRule="auto"/>
        <w:jc w:val="center"/>
        <w:rPr>
          <w:rFonts w:eastAsia="Times New Roman" w:cstheme="minorHAnsi"/>
          <w:u w:val="single"/>
          <w:lang w:val="en-GB" w:eastAsia="sl-SI"/>
        </w:rPr>
      </w:pPr>
      <w:r w:rsidRPr="00833419">
        <w:rPr>
          <w:rFonts w:eastAsia="Times New Roman" w:cstheme="minorHAnsi"/>
          <w:u w:val="single"/>
          <w:lang w:val="en-GB" w:eastAsia="sl-SI"/>
        </w:rPr>
        <w:t>P</w:t>
      </w:r>
      <w:r w:rsidR="00AA21EB" w:rsidRPr="00833419">
        <w:rPr>
          <w:rFonts w:eastAsia="Times New Roman" w:cstheme="minorHAnsi"/>
          <w:u w:val="single"/>
          <w:lang w:val="en-GB" w:eastAsia="sl-SI"/>
        </w:rPr>
        <w:t>ublic disclosures</w:t>
      </w:r>
    </w:p>
    <w:p w14:paraId="67D8125E" w14:textId="77777777" w:rsidR="001E071E" w:rsidRPr="00833419" w:rsidRDefault="001E071E" w:rsidP="001E071E">
      <w:pPr>
        <w:spacing w:before="100" w:beforeAutospacing="1" w:after="100" w:afterAutospacing="1" w:line="240" w:lineRule="auto"/>
        <w:jc w:val="center"/>
        <w:rPr>
          <w:rFonts w:eastAsia="Times New Roman" w:cstheme="minorHAnsi"/>
          <w:lang w:val="en-GB" w:eastAsia="sl-SI"/>
        </w:rPr>
      </w:pPr>
      <w:r w:rsidRPr="00833419">
        <w:rPr>
          <w:rFonts w:eastAsia="Times New Roman" w:cstheme="minorHAnsi"/>
          <w:lang w:val="en-GB" w:eastAsia="sl-SI"/>
        </w:rPr>
        <w:t>Article 15</w:t>
      </w:r>
    </w:p>
    <w:p w14:paraId="674589F2" w14:textId="30483F8B" w:rsidR="001E071E" w:rsidRPr="00833419" w:rsidRDefault="00AB6A9D" w:rsidP="001E071E">
      <w:pPr>
        <w:spacing w:before="100" w:beforeAutospacing="1" w:after="100" w:afterAutospacing="1" w:line="240" w:lineRule="auto"/>
        <w:jc w:val="center"/>
        <w:rPr>
          <w:rFonts w:eastAsia="Times New Roman" w:cstheme="minorHAnsi"/>
          <w:lang w:val="en-GB" w:eastAsia="sl-SI"/>
        </w:rPr>
      </w:pPr>
      <w:r w:rsidRPr="00833419">
        <w:rPr>
          <w:rFonts w:eastAsia="Times New Roman" w:cstheme="minorHAnsi"/>
          <w:lang w:val="en-GB" w:eastAsia="sl-SI"/>
        </w:rPr>
        <w:t>(</w:t>
      </w:r>
      <w:r w:rsidR="001E071E" w:rsidRPr="00833419">
        <w:rPr>
          <w:rFonts w:eastAsia="Times New Roman" w:cstheme="minorHAnsi"/>
          <w:lang w:val="en-GB" w:eastAsia="sl-SI"/>
        </w:rPr>
        <w:t>Public disclosures</w:t>
      </w:r>
      <w:r w:rsidRPr="00833419">
        <w:rPr>
          <w:rFonts w:eastAsia="Times New Roman" w:cstheme="minorHAnsi"/>
          <w:lang w:val="en-GB" w:eastAsia="sl-SI"/>
        </w:rPr>
        <w:t>)</w:t>
      </w:r>
    </w:p>
    <w:p w14:paraId="32F591FD" w14:textId="355F925C" w:rsidR="001E071E" w:rsidRPr="00833419" w:rsidRDefault="001E071E" w:rsidP="00AB6A9D">
      <w:pPr>
        <w:spacing w:before="100" w:beforeAutospacing="1" w:after="100" w:afterAutospacing="1" w:line="240" w:lineRule="auto"/>
        <w:jc w:val="both"/>
        <w:rPr>
          <w:rFonts w:eastAsia="Times New Roman" w:cstheme="minorHAnsi"/>
          <w:lang w:val="en-GB" w:eastAsia="sl-SI"/>
        </w:rPr>
      </w:pPr>
      <w:r w:rsidRPr="00833419">
        <w:rPr>
          <w:rFonts w:eastAsia="Times New Roman" w:cstheme="minorHAnsi"/>
          <w:lang w:val="en-GB" w:eastAsia="sl-SI"/>
        </w:rPr>
        <w:t xml:space="preserve">1.   A person who makes a public disclosure shall qualify for protection under this </w:t>
      </w:r>
      <w:r w:rsidR="00AB6A9D" w:rsidRPr="00833419">
        <w:rPr>
          <w:rFonts w:eastAsia="Times New Roman" w:cstheme="minorHAnsi"/>
          <w:lang w:val="en-GB" w:eastAsia="sl-SI"/>
        </w:rPr>
        <w:t>Act</w:t>
      </w:r>
      <w:r w:rsidRPr="00833419">
        <w:rPr>
          <w:rFonts w:eastAsia="Times New Roman" w:cstheme="minorHAnsi"/>
          <w:lang w:val="en-GB" w:eastAsia="sl-SI"/>
        </w:rPr>
        <w:t xml:space="preserve"> if any of the following conditions is fulfilled:</w:t>
      </w:r>
    </w:p>
    <w:p w14:paraId="563E3016" w14:textId="69733027" w:rsidR="001E071E" w:rsidRPr="00833419" w:rsidRDefault="00AA21EB" w:rsidP="00AB6A9D">
      <w:pPr>
        <w:spacing w:before="100" w:beforeAutospacing="1" w:after="100" w:afterAutospacing="1" w:line="240" w:lineRule="auto"/>
        <w:jc w:val="both"/>
        <w:rPr>
          <w:rFonts w:eastAsia="Times New Roman" w:cstheme="minorHAnsi"/>
          <w:lang w:val="en-GB" w:eastAsia="sl-SI"/>
        </w:rPr>
      </w:pPr>
      <w:r w:rsidRPr="00833419">
        <w:rPr>
          <w:rFonts w:eastAsia="Times New Roman" w:cstheme="minorHAnsi"/>
          <w:lang w:val="en-GB" w:eastAsia="sl-SI"/>
        </w:rPr>
        <w:t>(</w:t>
      </w:r>
      <w:r w:rsidR="001E071E" w:rsidRPr="00833419">
        <w:rPr>
          <w:rFonts w:eastAsia="Times New Roman" w:cstheme="minorHAnsi"/>
          <w:lang w:val="en-GB" w:eastAsia="sl-SI"/>
        </w:rPr>
        <w:t>a)</w:t>
      </w:r>
      <w:r w:rsidRPr="00833419">
        <w:rPr>
          <w:rFonts w:eastAsia="Times New Roman" w:cstheme="minorHAnsi"/>
          <w:lang w:val="en-GB" w:eastAsia="sl-SI"/>
        </w:rPr>
        <w:t xml:space="preserve"> </w:t>
      </w:r>
      <w:r w:rsidR="001E071E" w:rsidRPr="00833419">
        <w:rPr>
          <w:rFonts w:eastAsia="Times New Roman" w:cstheme="minorHAnsi"/>
          <w:lang w:val="en-GB" w:eastAsia="sl-SI"/>
        </w:rPr>
        <w:t>t</w:t>
      </w:r>
      <w:r w:rsidR="001E071E" w:rsidRPr="00833419">
        <w:rPr>
          <w:rFonts w:cstheme="minorHAnsi"/>
          <w:color w:val="000000"/>
          <w:lang w:val="en-GB"/>
        </w:rPr>
        <w:t xml:space="preserve">he person first reported internally and externally, or directly externally in accordance with Chapters </w:t>
      </w:r>
      <w:r w:rsidR="00AB6A9D" w:rsidRPr="00833419">
        <w:rPr>
          <w:rFonts w:cstheme="minorHAnsi"/>
          <w:color w:val="000000"/>
          <w:lang w:val="en-GB"/>
        </w:rPr>
        <w:t>3</w:t>
      </w:r>
      <w:r w:rsidR="001E071E" w:rsidRPr="00833419">
        <w:rPr>
          <w:rFonts w:cstheme="minorHAnsi"/>
          <w:color w:val="000000"/>
          <w:lang w:val="en-GB"/>
        </w:rPr>
        <w:t xml:space="preserve"> and </w:t>
      </w:r>
      <w:r w:rsidR="00AB6A9D" w:rsidRPr="00833419">
        <w:rPr>
          <w:rFonts w:cstheme="minorHAnsi"/>
          <w:color w:val="000000"/>
          <w:lang w:val="en-GB"/>
        </w:rPr>
        <w:t>4</w:t>
      </w:r>
      <w:r w:rsidR="001E071E" w:rsidRPr="00833419">
        <w:rPr>
          <w:rFonts w:cstheme="minorHAnsi"/>
          <w:color w:val="000000"/>
          <w:lang w:val="en-GB"/>
        </w:rPr>
        <w:t>, but no appropriate action was taken in r</w:t>
      </w:r>
      <w:r w:rsidR="008E3982" w:rsidRPr="00833419">
        <w:rPr>
          <w:rFonts w:cstheme="minorHAnsi"/>
          <w:color w:val="000000"/>
          <w:lang w:val="en-GB"/>
        </w:rPr>
        <w:t xml:space="preserve">esponse to the report within three months from the report; or </w:t>
      </w:r>
      <w:r w:rsidR="001E071E" w:rsidRPr="00833419">
        <w:rPr>
          <w:rFonts w:cstheme="minorHAnsi"/>
          <w:color w:val="000000"/>
          <w:lang w:val="en-GB"/>
        </w:rPr>
        <w:t xml:space="preserve"> </w:t>
      </w:r>
    </w:p>
    <w:p w14:paraId="3F30DB4E" w14:textId="24103CA1" w:rsidR="001E071E" w:rsidRPr="00833419" w:rsidRDefault="001E071E" w:rsidP="00AB6A9D">
      <w:pPr>
        <w:autoSpaceDE w:val="0"/>
        <w:autoSpaceDN w:val="0"/>
        <w:adjustRightInd w:val="0"/>
        <w:spacing w:after="0" w:line="240" w:lineRule="auto"/>
        <w:jc w:val="both"/>
        <w:rPr>
          <w:rFonts w:cstheme="minorHAnsi"/>
          <w:color w:val="000000"/>
          <w:lang w:val="en-GB"/>
        </w:rPr>
      </w:pPr>
      <w:r w:rsidRPr="00833419">
        <w:rPr>
          <w:rFonts w:cstheme="minorHAnsi"/>
          <w:color w:val="000000"/>
          <w:lang w:val="en-GB"/>
        </w:rPr>
        <w:t>(b)</w:t>
      </w:r>
      <w:r w:rsidR="00AA21EB" w:rsidRPr="00833419">
        <w:rPr>
          <w:rFonts w:cstheme="minorHAnsi"/>
          <w:color w:val="000000"/>
          <w:lang w:val="en-GB"/>
        </w:rPr>
        <w:t xml:space="preserve"> </w:t>
      </w:r>
      <w:r w:rsidRPr="00833419">
        <w:rPr>
          <w:rFonts w:cstheme="minorHAnsi"/>
          <w:color w:val="000000"/>
          <w:lang w:val="en-GB"/>
        </w:rPr>
        <w:t>the person has reasonable grounds to believe that:</w:t>
      </w:r>
    </w:p>
    <w:p w14:paraId="505A13C8" w14:textId="77777777" w:rsidR="001E071E" w:rsidRPr="00833419" w:rsidRDefault="001E071E" w:rsidP="001E071E">
      <w:pPr>
        <w:autoSpaceDE w:val="0"/>
        <w:autoSpaceDN w:val="0"/>
        <w:adjustRightInd w:val="0"/>
        <w:spacing w:after="0" w:line="240" w:lineRule="auto"/>
        <w:rPr>
          <w:rFonts w:cstheme="minorHAnsi"/>
          <w:color w:val="000000"/>
          <w:lang w:val="en-GB"/>
        </w:rPr>
      </w:pPr>
    </w:p>
    <w:p w14:paraId="2AB5AE55" w14:textId="17F3268D" w:rsidR="001E071E" w:rsidRPr="00833419" w:rsidRDefault="001E071E" w:rsidP="00AB6A9D">
      <w:pPr>
        <w:pStyle w:val="Odstavekseznama"/>
        <w:numPr>
          <w:ilvl w:val="0"/>
          <w:numId w:val="8"/>
        </w:numPr>
        <w:autoSpaceDE w:val="0"/>
        <w:autoSpaceDN w:val="0"/>
        <w:adjustRightInd w:val="0"/>
        <w:spacing w:after="0" w:line="240" w:lineRule="auto"/>
        <w:jc w:val="both"/>
        <w:rPr>
          <w:rFonts w:cstheme="minorHAnsi"/>
          <w:color w:val="000000"/>
          <w:lang w:val="en-GB"/>
        </w:rPr>
      </w:pPr>
      <w:r w:rsidRPr="00833419">
        <w:rPr>
          <w:rFonts w:cstheme="minorHAnsi"/>
          <w:color w:val="000000"/>
          <w:lang w:val="en-GB"/>
        </w:rPr>
        <w:t xml:space="preserve">the breach may constitute an imminent or manifest danger to the public interest, such as where there is </w:t>
      </w:r>
      <w:proofErr w:type="gramStart"/>
      <w:r w:rsidRPr="00833419">
        <w:rPr>
          <w:rFonts w:cstheme="minorHAnsi"/>
          <w:color w:val="000000"/>
          <w:lang w:val="en-GB"/>
        </w:rPr>
        <w:t>an emergency situation</w:t>
      </w:r>
      <w:proofErr w:type="gramEnd"/>
      <w:r w:rsidRPr="00833419">
        <w:rPr>
          <w:rFonts w:cstheme="minorHAnsi"/>
          <w:color w:val="000000"/>
          <w:lang w:val="en-GB"/>
        </w:rPr>
        <w:t xml:space="preserve"> or a risk of irreversible damage; or</w:t>
      </w:r>
    </w:p>
    <w:p w14:paraId="3A3B52E1" w14:textId="5AF002B1" w:rsidR="001E071E" w:rsidRPr="00833419" w:rsidRDefault="001E071E" w:rsidP="00AB6A9D">
      <w:pPr>
        <w:autoSpaceDE w:val="0"/>
        <w:autoSpaceDN w:val="0"/>
        <w:adjustRightInd w:val="0"/>
        <w:spacing w:after="0" w:line="240" w:lineRule="auto"/>
        <w:jc w:val="both"/>
        <w:rPr>
          <w:rFonts w:cstheme="minorHAnsi"/>
          <w:color w:val="000000"/>
          <w:lang w:val="en-GB"/>
        </w:rPr>
      </w:pPr>
    </w:p>
    <w:p w14:paraId="47BC7639" w14:textId="6CAC32E2" w:rsidR="00AA21EB" w:rsidRPr="00833419" w:rsidRDefault="001E071E" w:rsidP="00AB6A9D">
      <w:pPr>
        <w:pStyle w:val="Odstavekseznama"/>
        <w:numPr>
          <w:ilvl w:val="0"/>
          <w:numId w:val="8"/>
        </w:numPr>
        <w:autoSpaceDE w:val="0"/>
        <w:autoSpaceDN w:val="0"/>
        <w:adjustRightInd w:val="0"/>
        <w:spacing w:after="0" w:line="240" w:lineRule="auto"/>
        <w:jc w:val="both"/>
        <w:rPr>
          <w:rFonts w:cstheme="minorHAnsi"/>
          <w:color w:val="000000"/>
          <w:lang w:val="en-GB"/>
        </w:rPr>
      </w:pPr>
      <w:r w:rsidRPr="00833419">
        <w:rPr>
          <w:rFonts w:cstheme="minorHAnsi"/>
          <w:color w:val="000000"/>
          <w:lang w:val="en-GB"/>
        </w:rPr>
        <w:t xml:space="preserve">in the case of external reporting, there is a risk of retaliation or there is a low prospect of the breach being effectively addressed, due to the </w:t>
      </w:r>
      <w:proofErr w:type="gramStart"/>
      <w:r w:rsidRPr="00833419">
        <w:rPr>
          <w:rFonts w:cstheme="minorHAnsi"/>
          <w:color w:val="000000"/>
          <w:lang w:val="en-GB"/>
        </w:rPr>
        <w:t>particular circumstances</w:t>
      </w:r>
      <w:proofErr w:type="gramEnd"/>
      <w:r w:rsidRPr="00833419">
        <w:rPr>
          <w:rFonts w:cstheme="minorHAnsi"/>
          <w:color w:val="000000"/>
          <w:lang w:val="en-GB"/>
        </w:rPr>
        <w:t xml:space="preserve"> of the case, such as those where evidence may be concealed or destroyed or where an authority may be in collusion with the perpetrator of the breach or involved in the breach.</w:t>
      </w:r>
    </w:p>
    <w:p w14:paraId="59A2A46E" w14:textId="77777777" w:rsidR="001E071E" w:rsidRPr="00833419" w:rsidRDefault="001E071E" w:rsidP="00A91FB6">
      <w:pPr>
        <w:jc w:val="both"/>
        <w:rPr>
          <w:rFonts w:cstheme="minorHAnsi"/>
          <w:lang w:val="en-GB"/>
        </w:rPr>
      </w:pPr>
    </w:p>
    <w:p w14:paraId="39FEBE52" w14:textId="77777777" w:rsidR="003A5FC0" w:rsidRPr="00833419" w:rsidRDefault="003A5FC0" w:rsidP="003A5FC0">
      <w:pPr>
        <w:jc w:val="center"/>
        <w:rPr>
          <w:rFonts w:cstheme="minorHAnsi"/>
          <w:u w:val="single"/>
          <w:lang w:val="en-GB"/>
        </w:rPr>
      </w:pPr>
      <w:r w:rsidRPr="00833419">
        <w:rPr>
          <w:rFonts w:cstheme="minorHAnsi"/>
          <w:u w:val="single"/>
          <w:lang w:val="en-GB"/>
        </w:rPr>
        <w:t>Chapter 6</w:t>
      </w:r>
    </w:p>
    <w:p w14:paraId="27AA7E4F" w14:textId="2321A9FA" w:rsidR="003A5FC0" w:rsidRPr="00833419" w:rsidRDefault="003A5FC0" w:rsidP="003A5FC0">
      <w:pPr>
        <w:jc w:val="center"/>
        <w:rPr>
          <w:rFonts w:cstheme="minorHAnsi"/>
          <w:u w:val="single"/>
          <w:lang w:val="en-GB"/>
        </w:rPr>
      </w:pPr>
      <w:r w:rsidRPr="00833419">
        <w:rPr>
          <w:rFonts w:eastAsia="Times New Roman" w:cstheme="minorHAnsi"/>
          <w:u w:val="single"/>
          <w:lang w:val="en-GB" w:eastAsia="sl-SI"/>
        </w:rPr>
        <w:t>Protect</w:t>
      </w:r>
      <w:r w:rsidR="0051694F" w:rsidRPr="00833419">
        <w:rPr>
          <w:rFonts w:eastAsia="Times New Roman" w:cstheme="minorHAnsi"/>
          <w:u w:val="single"/>
          <w:lang w:val="en-GB" w:eastAsia="sl-SI"/>
        </w:rPr>
        <w:t>i</w:t>
      </w:r>
      <w:r w:rsidRPr="00833419">
        <w:rPr>
          <w:rFonts w:eastAsia="Times New Roman" w:cstheme="minorHAnsi"/>
          <w:u w:val="single"/>
          <w:lang w:val="en-GB" w:eastAsia="sl-SI"/>
        </w:rPr>
        <w:t>on measures</w:t>
      </w:r>
    </w:p>
    <w:p w14:paraId="52BC7424" w14:textId="77777777" w:rsidR="003A5FC0" w:rsidRPr="00833419" w:rsidRDefault="003A5FC0" w:rsidP="003A5FC0">
      <w:pPr>
        <w:spacing w:before="100" w:beforeAutospacing="1" w:after="100" w:afterAutospacing="1" w:line="240" w:lineRule="auto"/>
        <w:jc w:val="center"/>
        <w:rPr>
          <w:rFonts w:eastAsia="Times New Roman" w:cstheme="minorHAnsi"/>
          <w:lang w:val="en-GB" w:eastAsia="sl-SI"/>
        </w:rPr>
      </w:pPr>
      <w:r w:rsidRPr="00833419">
        <w:rPr>
          <w:rFonts w:eastAsia="Times New Roman" w:cstheme="minorHAnsi"/>
          <w:lang w:val="en-GB" w:eastAsia="sl-SI"/>
        </w:rPr>
        <w:t>Article 19</w:t>
      </w:r>
    </w:p>
    <w:p w14:paraId="22C061F2" w14:textId="02B4A6B5" w:rsidR="003A5FC0" w:rsidRPr="00833419" w:rsidRDefault="00AB6A9D" w:rsidP="003A5FC0">
      <w:pPr>
        <w:spacing w:before="100" w:beforeAutospacing="1" w:after="100" w:afterAutospacing="1" w:line="240" w:lineRule="auto"/>
        <w:jc w:val="center"/>
        <w:rPr>
          <w:rFonts w:eastAsia="Times New Roman" w:cstheme="minorHAnsi"/>
          <w:lang w:val="en-GB" w:eastAsia="sl-SI"/>
        </w:rPr>
      </w:pPr>
      <w:r w:rsidRPr="00833419">
        <w:rPr>
          <w:rFonts w:eastAsia="Times New Roman" w:cstheme="minorHAnsi"/>
          <w:lang w:val="en-GB" w:eastAsia="sl-SI"/>
        </w:rPr>
        <w:t>(</w:t>
      </w:r>
      <w:r w:rsidR="003A5FC0" w:rsidRPr="00833419">
        <w:rPr>
          <w:rFonts w:eastAsia="Times New Roman" w:cstheme="minorHAnsi"/>
          <w:lang w:val="en-GB" w:eastAsia="sl-SI"/>
        </w:rPr>
        <w:t>Prohibition of retaliation</w:t>
      </w:r>
      <w:r w:rsidRPr="00833419">
        <w:rPr>
          <w:rFonts w:eastAsia="Times New Roman" w:cstheme="minorHAnsi"/>
          <w:lang w:val="en-GB" w:eastAsia="sl-SI"/>
        </w:rPr>
        <w:t>)</w:t>
      </w:r>
    </w:p>
    <w:p w14:paraId="497A44B9" w14:textId="75937CED" w:rsidR="003A5FC0" w:rsidRPr="00833419" w:rsidRDefault="00AB6A9D" w:rsidP="00AB6A9D">
      <w:pPr>
        <w:spacing w:before="100" w:beforeAutospacing="1" w:after="100" w:afterAutospacing="1" w:line="240" w:lineRule="auto"/>
        <w:jc w:val="both"/>
        <w:rPr>
          <w:rFonts w:eastAsia="Times New Roman" w:cstheme="minorHAnsi"/>
          <w:lang w:val="en-GB" w:eastAsia="sl-SI"/>
        </w:rPr>
      </w:pPr>
      <w:r w:rsidRPr="00833419">
        <w:rPr>
          <w:rFonts w:eastAsia="Times New Roman" w:cstheme="minorHAnsi"/>
          <w:lang w:val="en-GB" w:eastAsia="sl-SI"/>
        </w:rPr>
        <w:t>A</w:t>
      </w:r>
      <w:r w:rsidR="003A5FC0" w:rsidRPr="00833419">
        <w:rPr>
          <w:rFonts w:eastAsia="Times New Roman" w:cstheme="minorHAnsi"/>
          <w:lang w:val="en-GB" w:eastAsia="sl-SI"/>
        </w:rPr>
        <w:t xml:space="preserve">ny form of retaliation against </w:t>
      </w:r>
      <w:r w:rsidRPr="00833419">
        <w:rPr>
          <w:rFonts w:eastAsia="Times New Roman" w:cstheme="minorHAnsi"/>
          <w:lang w:val="en-GB" w:eastAsia="sl-SI"/>
        </w:rPr>
        <w:t>whistleblowers</w:t>
      </w:r>
      <w:r w:rsidR="003A5FC0" w:rsidRPr="00833419">
        <w:rPr>
          <w:rFonts w:eastAsia="Times New Roman" w:cstheme="minorHAnsi"/>
          <w:lang w:val="en-GB" w:eastAsia="sl-SI"/>
        </w:rPr>
        <w:t>, including threats of retaliation and attempts of retaliation</w:t>
      </w:r>
      <w:r w:rsidRPr="00833419">
        <w:rPr>
          <w:rFonts w:eastAsia="Times New Roman" w:cstheme="minorHAnsi"/>
          <w:lang w:val="en-GB" w:eastAsia="sl-SI"/>
        </w:rPr>
        <w:t xml:space="preserve"> is prohibited</w:t>
      </w:r>
      <w:r w:rsidR="008964A9" w:rsidRPr="00833419">
        <w:rPr>
          <w:rFonts w:eastAsia="Times New Roman" w:cstheme="minorHAnsi"/>
          <w:lang w:val="en-GB" w:eastAsia="sl-SI"/>
        </w:rPr>
        <w:t>. Re</w:t>
      </w:r>
      <w:r w:rsidRPr="00833419">
        <w:rPr>
          <w:rFonts w:eastAsia="Times New Roman" w:cstheme="minorHAnsi"/>
          <w:lang w:val="en-GB" w:eastAsia="sl-SI"/>
        </w:rPr>
        <w:t>taliation includes</w:t>
      </w:r>
      <w:r w:rsidR="003A5FC0" w:rsidRPr="00833419">
        <w:rPr>
          <w:rFonts w:eastAsia="Times New Roman" w:cstheme="minorHAnsi"/>
          <w:lang w:val="en-GB" w:eastAsia="sl-SI"/>
        </w:rPr>
        <w:t xml:space="preserve"> in particular:</w:t>
      </w:r>
    </w:p>
    <w:p w14:paraId="1D929618" w14:textId="122CAA35" w:rsidR="003A5FC0" w:rsidRPr="00833419" w:rsidRDefault="003A5FC0" w:rsidP="00AB6A9D">
      <w:pPr>
        <w:pStyle w:val="Odstavekseznama"/>
        <w:numPr>
          <w:ilvl w:val="0"/>
          <w:numId w:val="10"/>
        </w:numPr>
        <w:spacing w:before="100" w:beforeAutospacing="1" w:after="100" w:afterAutospacing="1" w:line="240" w:lineRule="auto"/>
        <w:jc w:val="both"/>
        <w:rPr>
          <w:rFonts w:eastAsia="Times New Roman" w:cstheme="minorHAnsi"/>
          <w:lang w:val="en-GB" w:eastAsia="sl-SI"/>
        </w:rPr>
      </w:pPr>
      <w:r w:rsidRPr="00833419">
        <w:rPr>
          <w:rFonts w:eastAsia="Times New Roman" w:cstheme="minorHAnsi"/>
          <w:lang w:val="en-GB" w:eastAsia="sl-SI"/>
        </w:rPr>
        <w:t xml:space="preserve">suspension, lay-off, dismissal or equivalent </w:t>
      </w:r>
      <w:proofErr w:type="gramStart"/>
      <w:r w:rsidRPr="00833419">
        <w:rPr>
          <w:rFonts w:eastAsia="Times New Roman" w:cstheme="minorHAnsi"/>
          <w:lang w:val="en-GB" w:eastAsia="sl-SI"/>
        </w:rPr>
        <w:t>measures;</w:t>
      </w:r>
      <w:proofErr w:type="gramEnd"/>
    </w:p>
    <w:p w14:paraId="52368A5E" w14:textId="3F51C8EB" w:rsidR="003A5FC0" w:rsidRPr="00833419" w:rsidRDefault="003A5FC0" w:rsidP="00AB6A9D">
      <w:pPr>
        <w:pStyle w:val="Odstavekseznama"/>
        <w:numPr>
          <w:ilvl w:val="0"/>
          <w:numId w:val="10"/>
        </w:numPr>
        <w:spacing w:before="100" w:beforeAutospacing="1" w:after="100" w:afterAutospacing="1" w:line="240" w:lineRule="auto"/>
        <w:jc w:val="both"/>
        <w:rPr>
          <w:rFonts w:eastAsia="Times New Roman" w:cstheme="minorHAnsi"/>
          <w:lang w:val="en-GB" w:eastAsia="sl-SI"/>
        </w:rPr>
      </w:pPr>
      <w:r w:rsidRPr="00833419">
        <w:rPr>
          <w:rFonts w:eastAsia="Times New Roman" w:cstheme="minorHAnsi"/>
          <w:lang w:val="en-GB" w:eastAsia="sl-SI"/>
        </w:rPr>
        <w:t xml:space="preserve">demotion or withholding of </w:t>
      </w:r>
      <w:proofErr w:type="gramStart"/>
      <w:r w:rsidRPr="00833419">
        <w:rPr>
          <w:rFonts w:eastAsia="Times New Roman" w:cstheme="minorHAnsi"/>
          <w:lang w:val="en-GB" w:eastAsia="sl-SI"/>
        </w:rPr>
        <w:t>promotion;</w:t>
      </w:r>
      <w:proofErr w:type="gramEnd"/>
    </w:p>
    <w:p w14:paraId="3F95BCBB" w14:textId="505CC820" w:rsidR="003A5FC0" w:rsidRPr="00833419" w:rsidRDefault="003A5FC0" w:rsidP="00AB6A9D">
      <w:pPr>
        <w:pStyle w:val="Odstavekseznama"/>
        <w:numPr>
          <w:ilvl w:val="0"/>
          <w:numId w:val="10"/>
        </w:numPr>
        <w:spacing w:before="100" w:beforeAutospacing="1" w:after="100" w:afterAutospacing="1" w:line="240" w:lineRule="auto"/>
        <w:jc w:val="both"/>
        <w:rPr>
          <w:rFonts w:eastAsia="Times New Roman" w:cstheme="minorHAnsi"/>
          <w:lang w:val="en-GB" w:eastAsia="sl-SI"/>
        </w:rPr>
      </w:pPr>
      <w:r w:rsidRPr="00833419">
        <w:rPr>
          <w:rFonts w:eastAsia="Times New Roman" w:cstheme="minorHAnsi"/>
          <w:lang w:val="en-GB" w:eastAsia="sl-SI"/>
        </w:rPr>
        <w:t xml:space="preserve">transfer of duties, change of location of place of work, reduction in wages, change in working </w:t>
      </w:r>
      <w:proofErr w:type="gramStart"/>
      <w:r w:rsidRPr="00833419">
        <w:rPr>
          <w:rFonts w:eastAsia="Times New Roman" w:cstheme="minorHAnsi"/>
          <w:lang w:val="en-GB" w:eastAsia="sl-SI"/>
        </w:rPr>
        <w:t>hours;</w:t>
      </w:r>
      <w:proofErr w:type="gramEnd"/>
    </w:p>
    <w:p w14:paraId="12765C9A" w14:textId="195E5E64" w:rsidR="003A5FC0" w:rsidRPr="00833419" w:rsidRDefault="003A5FC0" w:rsidP="00AB6A9D">
      <w:pPr>
        <w:pStyle w:val="Odstavekseznama"/>
        <w:numPr>
          <w:ilvl w:val="0"/>
          <w:numId w:val="10"/>
        </w:numPr>
        <w:spacing w:before="100" w:beforeAutospacing="1" w:after="100" w:afterAutospacing="1" w:line="240" w:lineRule="auto"/>
        <w:jc w:val="both"/>
        <w:rPr>
          <w:rFonts w:eastAsia="Times New Roman" w:cstheme="minorHAnsi"/>
          <w:lang w:val="en-GB" w:eastAsia="sl-SI"/>
        </w:rPr>
      </w:pPr>
      <w:r w:rsidRPr="00833419">
        <w:rPr>
          <w:rFonts w:eastAsia="Times New Roman" w:cstheme="minorHAnsi"/>
          <w:lang w:val="en-GB" w:eastAsia="sl-SI"/>
        </w:rPr>
        <w:lastRenderedPageBreak/>
        <w:t xml:space="preserve">withholding of </w:t>
      </w:r>
      <w:proofErr w:type="gramStart"/>
      <w:r w:rsidRPr="00833419">
        <w:rPr>
          <w:rFonts w:eastAsia="Times New Roman" w:cstheme="minorHAnsi"/>
          <w:lang w:val="en-GB" w:eastAsia="sl-SI"/>
        </w:rPr>
        <w:t>training;</w:t>
      </w:r>
      <w:proofErr w:type="gramEnd"/>
    </w:p>
    <w:p w14:paraId="5457DB46" w14:textId="27AD27D1" w:rsidR="003A5FC0" w:rsidRPr="00833419" w:rsidRDefault="003A5FC0" w:rsidP="00AB6A9D">
      <w:pPr>
        <w:pStyle w:val="Odstavekseznama"/>
        <w:numPr>
          <w:ilvl w:val="0"/>
          <w:numId w:val="10"/>
        </w:numPr>
        <w:spacing w:before="100" w:beforeAutospacing="1" w:after="100" w:afterAutospacing="1" w:line="240" w:lineRule="auto"/>
        <w:jc w:val="both"/>
        <w:rPr>
          <w:rFonts w:eastAsia="Times New Roman" w:cstheme="minorHAnsi"/>
          <w:lang w:val="en-GB" w:eastAsia="sl-SI"/>
        </w:rPr>
      </w:pPr>
      <w:r w:rsidRPr="00833419">
        <w:rPr>
          <w:rFonts w:eastAsia="Times New Roman" w:cstheme="minorHAnsi"/>
          <w:lang w:val="en-GB" w:eastAsia="sl-SI"/>
        </w:rPr>
        <w:t xml:space="preserve">a negative performance assessment or employment </w:t>
      </w:r>
      <w:proofErr w:type="gramStart"/>
      <w:r w:rsidRPr="00833419">
        <w:rPr>
          <w:rFonts w:eastAsia="Times New Roman" w:cstheme="minorHAnsi"/>
          <w:lang w:val="en-GB" w:eastAsia="sl-SI"/>
        </w:rPr>
        <w:t>reference;</w:t>
      </w:r>
      <w:proofErr w:type="gramEnd"/>
    </w:p>
    <w:p w14:paraId="38DD40E3" w14:textId="25FB58F8" w:rsidR="003A5FC0" w:rsidRPr="00833419" w:rsidRDefault="003A5FC0" w:rsidP="00AB6A9D">
      <w:pPr>
        <w:pStyle w:val="Odstavekseznama"/>
        <w:numPr>
          <w:ilvl w:val="0"/>
          <w:numId w:val="10"/>
        </w:numPr>
        <w:spacing w:before="100" w:beforeAutospacing="1" w:after="100" w:afterAutospacing="1" w:line="240" w:lineRule="auto"/>
        <w:jc w:val="both"/>
        <w:rPr>
          <w:rFonts w:eastAsia="Times New Roman" w:cstheme="minorHAnsi"/>
          <w:lang w:val="en-GB" w:eastAsia="sl-SI"/>
        </w:rPr>
      </w:pPr>
      <w:r w:rsidRPr="00833419">
        <w:rPr>
          <w:rFonts w:eastAsia="Times New Roman" w:cstheme="minorHAnsi"/>
          <w:lang w:val="en-GB" w:eastAsia="sl-SI"/>
        </w:rPr>
        <w:t xml:space="preserve">discrimination, disadvantageous or unfair </w:t>
      </w:r>
      <w:proofErr w:type="gramStart"/>
      <w:r w:rsidRPr="00833419">
        <w:rPr>
          <w:rFonts w:eastAsia="Times New Roman" w:cstheme="minorHAnsi"/>
          <w:lang w:val="en-GB" w:eastAsia="sl-SI"/>
        </w:rPr>
        <w:t>treatment;</w:t>
      </w:r>
      <w:proofErr w:type="gramEnd"/>
    </w:p>
    <w:p w14:paraId="3690E7C7" w14:textId="686CD7A2" w:rsidR="003A5FC0" w:rsidRPr="00833419" w:rsidRDefault="003A5FC0" w:rsidP="00AB6A9D">
      <w:pPr>
        <w:pStyle w:val="Odstavekseznama"/>
        <w:numPr>
          <w:ilvl w:val="0"/>
          <w:numId w:val="10"/>
        </w:numPr>
        <w:spacing w:before="100" w:beforeAutospacing="1" w:after="100" w:afterAutospacing="1" w:line="240" w:lineRule="auto"/>
        <w:jc w:val="both"/>
        <w:rPr>
          <w:rFonts w:eastAsia="Times New Roman" w:cstheme="minorHAnsi"/>
          <w:lang w:val="en-GB" w:eastAsia="sl-SI"/>
        </w:rPr>
      </w:pPr>
      <w:r w:rsidRPr="00833419">
        <w:rPr>
          <w:rFonts w:eastAsia="Times New Roman" w:cstheme="minorHAnsi"/>
          <w:lang w:val="en-GB" w:eastAsia="sl-SI"/>
        </w:rPr>
        <w:t xml:space="preserve">coercion, intimidation, harassment or </w:t>
      </w:r>
      <w:proofErr w:type="gramStart"/>
      <w:r w:rsidRPr="00833419">
        <w:rPr>
          <w:rFonts w:eastAsia="Times New Roman" w:cstheme="minorHAnsi"/>
          <w:lang w:val="en-GB" w:eastAsia="sl-SI"/>
        </w:rPr>
        <w:t>ostracism;</w:t>
      </w:r>
      <w:proofErr w:type="gramEnd"/>
    </w:p>
    <w:p w14:paraId="3299474E" w14:textId="0074A77A" w:rsidR="003A5FC0" w:rsidRPr="00833419" w:rsidRDefault="003A5FC0" w:rsidP="00AB6A9D">
      <w:pPr>
        <w:pStyle w:val="Odstavekseznama"/>
        <w:numPr>
          <w:ilvl w:val="0"/>
          <w:numId w:val="10"/>
        </w:numPr>
        <w:spacing w:before="100" w:beforeAutospacing="1" w:after="100" w:afterAutospacing="1" w:line="240" w:lineRule="auto"/>
        <w:jc w:val="both"/>
        <w:rPr>
          <w:rFonts w:eastAsia="Times New Roman" w:cstheme="minorHAnsi"/>
          <w:lang w:val="en-GB" w:eastAsia="sl-SI"/>
        </w:rPr>
      </w:pPr>
      <w:r w:rsidRPr="00833419">
        <w:rPr>
          <w:rFonts w:eastAsia="Times New Roman" w:cstheme="minorHAnsi"/>
          <w:lang w:val="en-GB" w:eastAsia="sl-SI"/>
        </w:rPr>
        <w:t xml:space="preserve">discrimination, disadvantageous or unfair </w:t>
      </w:r>
      <w:proofErr w:type="gramStart"/>
      <w:r w:rsidRPr="00833419">
        <w:rPr>
          <w:rFonts w:eastAsia="Times New Roman" w:cstheme="minorHAnsi"/>
          <w:lang w:val="en-GB" w:eastAsia="sl-SI"/>
        </w:rPr>
        <w:t>treatment;</w:t>
      </w:r>
      <w:proofErr w:type="gramEnd"/>
    </w:p>
    <w:p w14:paraId="1649963D" w14:textId="3A702107" w:rsidR="003A5FC0" w:rsidRPr="00833419" w:rsidRDefault="003A5FC0" w:rsidP="00AB6A9D">
      <w:pPr>
        <w:pStyle w:val="Odstavekseznama"/>
        <w:numPr>
          <w:ilvl w:val="0"/>
          <w:numId w:val="10"/>
        </w:numPr>
        <w:spacing w:before="100" w:beforeAutospacing="1" w:after="100" w:afterAutospacing="1" w:line="240" w:lineRule="auto"/>
        <w:jc w:val="both"/>
        <w:rPr>
          <w:rFonts w:eastAsia="Times New Roman" w:cstheme="minorHAnsi"/>
          <w:lang w:val="en-GB" w:eastAsia="sl-SI"/>
        </w:rPr>
      </w:pPr>
      <w:r w:rsidRPr="00833419">
        <w:rPr>
          <w:rFonts w:eastAsia="Times New Roman" w:cstheme="minorHAnsi"/>
          <w:lang w:val="en-GB" w:eastAsia="sl-SI"/>
        </w:rPr>
        <w:t xml:space="preserve">failure to convert a temporary employment contract into a permanent one, where the worker had legitimate expectations that he or she would be offered permanent </w:t>
      </w:r>
      <w:proofErr w:type="gramStart"/>
      <w:r w:rsidRPr="00833419">
        <w:rPr>
          <w:rFonts w:eastAsia="Times New Roman" w:cstheme="minorHAnsi"/>
          <w:lang w:val="en-GB" w:eastAsia="sl-SI"/>
        </w:rPr>
        <w:t>employment;</w:t>
      </w:r>
      <w:proofErr w:type="gramEnd"/>
    </w:p>
    <w:p w14:paraId="7AAFD478" w14:textId="05B2F74F" w:rsidR="003A5FC0" w:rsidRPr="00833419" w:rsidRDefault="003A5FC0" w:rsidP="00AB6A9D">
      <w:pPr>
        <w:pStyle w:val="Odstavekseznama"/>
        <w:numPr>
          <w:ilvl w:val="0"/>
          <w:numId w:val="10"/>
        </w:numPr>
        <w:spacing w:before="100" w:beforeAutospacing="1" w:after="100" w:afterAutospacing="1" w:line="240" w:lineRule="auto"/>
        <w:jc w:val="both"/>
        <w:rPr>
          <w:rFonts w:eastAsia="Times New Roman" w:cstheme="minorHAnsi"/>
          <w:lang w:val="en-GB" w:eastAsia="sl-SI"/>
        </w:rPr>
      </w:pPr>
      <w:r w:rsidRPr="00833419">
        <w:rPr>
          <w:rFonts w:eastAsia="Times New Roman" w:cstheme="minorHAnsi"/>
          <w:lang w:val="en-GB" w:eastAsia="sl-SI"/>
        </w:rPr>
        <w:t xml:space="preserve">harm, including to the person's reputation, particularly in social media, or financial loss, including loss of business and loss of </w:t>
      </w:r>
      <w:proofErr w:type="gramStart"/>
      <w:r w:rsidRPr="00833419">
        <w:rPr>
          <w:rFonts w:eastAsia="Times New Roman" w:cstheme="minorHAnsi"/>
          <w:lang w:val="en-GB" w:eastAsia="sl-SI"/>
        </w:rPr>
        <w:t>income;</w:t>
      </w:r>
      <w:proofErr w:type="gramEnd"/>
    </w:p>
    <w:p w14:paraId="3DC6530A" w14:textId="13694672" w:rsidR="003A5FC0" w:rsidRPr="00833419" w:rsidRDefault="003A5FC0" w:rsidP="00AB6A9D">
      <w:pPr>
        <w:pStyle w:val="Odstavekseznama"/>
        <w:numPr>
          <w:ilvl w:val="0"/>
          <w:numId w:val="10"/>
        </w:numPr>
        <w:spacing w:before="100" w:beforeAutospacing="1" w:after="100" w:afterAutospacing="1" w:line="240" w:lineRule="auto"/>
        <w:jc w:val="both"/>
        <w:rPr>
          <w:rFonts w:eastAsia="Times New Roman" w:cstheme="minorHAnsi"/>
          <w:lang w:val="en-GB" w:eastAsia="sl-SI"/>
        </w:rPr>
      </w:pPr>
      <w:r w:rsidRPr="00833419">
        <w:rPr>
          <w:rFonts w:eastAsia="Times New Roman" w:cstheme="minorHAnsi"/>
          <w:lang w:val="en-GB" w:eastAsia="sl-SI"/>
        </w:rPr>
        <w:t xml:space="preserve">blacklisting on the basis of a sector or industry-wide informal or formal agreement, which may entail that the person will not, in the future, find employment in the sector or </w:t>
      </w:r>
      <w:proofErr w:type="gramStart"/>
      <w:r w:rsidRPr="00833419">
        <w:rPr>
          <w:rFonts w:eastAsia="Times New Roman" w:cstheme="minorHAnsi"/>
          <w:lang w:val="en-GB" w:eastAsia="sl-SI"/>
        </w:rPr>
        <w:t>industry;</w:t>
      </w:r>
      <w:proofErr w:type="gramEnd"/>
    </w:p>
    <w:p w14:paraId="48C0394A" w14:textId="5DF1C6A5" w:rsidR="003A5FC0" w:rsidRPr="00833419" w:rsidRDefault="003A5FC0" w:rsidP="00AB6A9D">
      <w:pPr>
        <w:pStyle w:val="Odstavekseznama"/>
        <w:numPr>
          <w:ilvl w:val="0"/>
          <w:numId w:val="10"/>
        </w:numPr>
        <w:spacing w:before="100" w:beforeAutospacing="1" w:after="100" w:afterAutospacing="1" w:line="240" w:lineRule="auto"/>
        <w:jc w:val="both"/>
        <w:rPr>
          <w:rFonts w:eastAsia="Times New Roman" w:cstheme="minorHAnsi"/>
          <w:lang w:val="en-GB" w:eastAsia="sl-SI"/>
        </w:rPr>
      </w:pPr>
      <w:r w:rsidRPr="00833419">
        <w:rPr>
          <w:rFonts w:eastAsia="Times New Roman" w:cstheme="minorHAnsi"/>
          <w:lang w:val="en-GB" w:eastAsia="sl-SI"/>
        </w:rPr>
        <w:t xml:space="preserve">early termination or cancellation of a contract for goods or </w:t>
      </w:r>
      <w:proofErr w:type="gramStart"/>
      <w:r w:rsidRPr="00833419">
        <w:rPr>
          <w:rFonts w:eastAsia="Times New Roman" w:cstheme="minorHAnsi"/>
          <w:lang w:val="en-GB" w:eastAsia="sl-SI"/>
        </w:rPr>
        <w:t>services;</w:t>
      </w:r>
      <w:proofErr w:type="gramEnd"/>
    </w:p>
    <w:p w14:paraId="1F5E9317" w14:textId="412EE441" w:rsidR="003A5FC0" w:rsidRPr="00833419" w:rsidRDefault="003A5FC0" w:rsidP="00AB6A9D">
      <w:pPr>
        <w:pStyle w:val="Odstavekseznama"/>
        <w:numPr>
          <w:ilvl w:val="0"/>
          <w:numId w:val="10"/>
        </w:numPr>
        <w:spacing w:before="100" w:beforeAutospacing="1" w:after="100" w:afterAutospacing="1" w:line="240" w:lineRule="auto"/>
        <w:jc w:val="both"/>
        <w:rPr>
          <w:rFonts w:eastAsia="Times New Roman" w:cstheme="minorHAnsi"/>
          <w:lang w:val="en-GB" w:eastAsia="sl-SI"/>
        </w:rPr>
      </w:pPr>
      <w:r w:rsidRPr="00833419">
        <w:rPr>
          <w:rFonts w:eastAsia="Times New Roman" w:cstheme="minorHAnsi"/>
          <w:lang w:val="en-GB" w:eastAsia="sl-SI"/>
        </w:rPr>
        <w:t xml:space="preserve">cancellation of a licence or </w:t>
      </w:r>
      <w:proofErr w:type="gramStart"/>
      <w:r w:rsidRPr="00833419">
        <w:rPr>
          <w:rFonts w:eastAsia="Times New Roman" w:cstheme="minorHAnsi"/>
          <w:lang w:val="en-GB" w:eastAsia="sl-SI"/>
        </w:rPr>
        <w:t>permit;</w:t>
      </w:r>
      <w:proofErr w:type="gramEnd"/>
    </w:p>
    <w:p w14:paraId="41512389" w14:textId="65FE733C" w:rsidR="000A2680" w:rsidRPr="00833419" w:rsidRDefault="003A5FC0" w:rsidP="000A2680">
      <w:pPr>
        <w:pStyle w:val="Odstavekseznama"/>
        <w:numPr>
          <w:ilvl w:val="0"/>
          <w:numId w:val="10"/>
        </w:numPr>
        <w:spacing w:before="100" w:beforeAutospacing="1" w:after="100" w:afterAutospacing="1" w:line="240" w:lineRule="auto"/>
        <w:jc w:val="both"/>
        <w:rPr>
          <w:rFonts w:eastAsia="Times New Roman" w:cstheme="minorHAnsi"/>
          <w:lang w:val="en-GB" w:eastAsia="sl-SI"/>
        </w:rPr>
      </w:pPr>
      <w:r w:rsidRPr="00833419">
        <w:rPr>
          <w:rFonts w:eastAsia="Times New Roman" w:cstheme="minorHAnsi"/>
          <w:lang w:val="en-GB" w:eastAsia="sl-SI"/>
        </w:rPr>
        <w:t>psychiatric or medical referrals.</w:t>
      </w:r>
    </w:p>
    <w:p w14:paraId="7403FA91" w14:textId="62F08CA9" w:rsidR="003A5FC0" w:rsidRPr="00833419" w:rsidRDefault="003A5FC0" w:rsidP="00AB6A9D">
      <w:pPr>
        <w:spacing w:before="100" w:beforeAutospacing="1" w:after="100" w:afterAutospacing="1" w:line="240" w:lineRule="auto"/>
        <w:jc w:val="center"/>
        <w:rPr>
          <w:rFonts w:eastAsia="Times New Roman" w:cstheme="minorHAnsi"/>
          <w:lang w:val="en-GB" w:eastAsia="sl-SI"/>
        </w:rPr>
      </w:pPr>
      <w:r w:rsidRPr="00833419">
        <w:rPr>
          <w:rFonts w:eastAsia="Times New Roman" w:cstheme="minorHAnsi"/>
          <w:lang w:val="en-GB" w:eastAsia="sl-SI"/>
        </w:rPr>
        <w:t>Article 21</w:t>
      </w:r>
    </w:p>
    <w:p w14:paraId="4A2E490E" w14:textId="56800BC1" w:rsidR="000A2680" w:rsidRPr="00833419" w:rsidRDefault="00AB6A9D" w:rsidP="000A2680">
      <w:pPr>
        <w:spacing w:before="100" w:beforeAutospacing="1" w:after="100" w:afterAutospacing="1" w:line="240" w:lineRule="auto"/>
        <w:jc w:val="center"/>
        <w:rPr>
          <w:rFonts w:eastAsia="Times New Roman" w:cstheme="minorHAnsi"/>
          <w:lang w:val="en-GB" w:eastAsia="sl-SI"/>
        </w:rPr>
      </w:pPr>
      <w:r w:rsidRPr="00833419">
        <w:rPr>
          <w:rFonts w:eastAsia="Times New Roman" w:cstheme="minorHAnsi"/>
          <w:lang w:val="en-GB" w:eastAsia="sl-SI"/>
        </w:rPr>
        <w:t>(</w:t>
      </w:r>
      <w:r w:rsidR="003A5FC0" w:rsidRPr="00833419">
        <w:rPr>
          <w:rFonts w:eastAsia="Times New Roman" w:cstheme="minorHAnsi"/>
          <w:lang w:val="en-GB" w:eastAsia="sl-SI"/>
        </w:rPr>
        <w:t>Measures for protection against retaliation</w:t>
      </w:r>
      <w:r w:rsidRPr="00833419">
        <w:rPr>
          <w:rFonts w:eastAsia="Times New Roman" w:cstheme="minorHAnsi"/>
          <w:lang w:val="en-GB" w:eastAsia="sl-SI"/>
        </w:rPr>
        <w:t>)</w:t>
      </w:r>
    </w:p>
    <w:p w14:paraId="3E2249F4" w14:textId="4E385A64" w:rsidR="003A5FC0" w:rsidRPr="00833419" w:rsidRDefault="000A2680" w:rsidP="00C917AE">
      <w:pPr>
        <w:spacing w:before="100" w:beforeAutospacing="1" w:after="100" w:afterAutospacing="1" w:line="240" w:lineRule="auto"/>
        <w:jc w:val="both"/>
        <w:rPr>
          <w:rFonts w:eastAsia="Times New Roman" w:cstheme="minorHAnsi"/>
          <w:lang w:val="en-GB" w:eastAsia="sl-SI"/>
        </w:rPr>
      </w:pPr>
      <w:r w:rsidRPr="00833419">
        <w:rPr>
          <w:rFonts w:eastAsia="Times New Roman" w:cstheme="minorHAnsi"/>
          <w:lang w:val="en-GB" w:eastAsia="sl-SI"/>
        </w:rPr>
        <w:t>1</w:t>
      </w:r>
      <w:r w:rsidR="003A5FC0" w:rsidRPr="00833419">
        <w:rPr>
          <w:rFonts w:eastAsia="Times New Roman" w:cstheme="minorHAnsi"/>
          <w:lang w:val="en-GB" w:eastAsia="sl-SI"/>
        </w:rPr>
        <w:t>.   </w:t>
      </w:r>
      <w:r w:rsidRPr="00833419">
        <w:rPr>
          <w:rFonts w:eastAsia="Times New Roman" w:cstheme="minorHAnsi"/>
          <w:lang w:val="en-GB" w:eastAsia="sl-SI"/>
        </w:rPr>
        <w:t>W</w:t>
      </w:r>
      <w:r w:rsidR="003A5FC0" w:rsidRPr="00833419">
        <w:rPr>
          <w:rFonts w:eastAsia="Times New Roman" w:cstheme="minorHAnsi"/>
          <w:lang w:val="en-GB" w:eastAsia="sl-SI"/>
        </w:rPr>
        <w:t>here</w:t>
      </w:r>
      <w:r w:rsidRPr="00833419">
        <w:rPr>
          <w:rFonts w:eastAsia="Times New Roman" w:cstheme="minorHAnsi"/>
          <w:lang w:val="en-GB" w:eastAsia="sl-SI"/>
        </w:rPr>
        <w:t xml:space="preserve"> whistleblowers</w:t>
      </w:r>
      <w:r w:rsidR="003A5FC0" w:rsidRPr="00833419">
        <w:rPr>
          <w:rFonts w:eastAsia="Times New Roman" w:cstheme="minorHAnsi"/>
          <w:lang w:val="en-GB" w:eastAsia="sl-SI"/>
        </w:rPr>
        <w:t xml:space="preserve"> report information on breaches or make a public disclosure in accordance with this </w:t>
      </w:r>
      <w:r w:rsidRPr="00833419">
        <w:rPr>
          <w:rFonts w:eastAsia="Times New Roman" w:cstheme="minorHAnsi"/>
          <w:lang w:val="en-GB" w:eastAsia="sl-SI"/>
        </w:rPr>
        <w:t>Act</w:t>
      </w:r>
      <w:r w:rsidR="003A5FC0" w:rsidRPr="00833419">
        <w:rPr>
          <w:rFonts w:eastAsia="Times New Roman" w:cstheme="minorHAnsi"/>
          <w:lang w:val="en-GB" w:eastAsia="sl-SI"/>
        </w:rPr>
        <w:t xml:space="preserve"> they shall not be considered to have breached any restriction on disclosure of information and shall not incur liability of any kind in respect of such a report or public disclosure provided that they had reasonable grounds to believe that the reporting or public disclosure of such information was necessary for revealing a breach pursuant to this </w:t>
      </w:r>
      <w:r w:rsidRPr="00833419">
        <w:rPr>
          <w:rFonts w:eastAsia="Times New Roman" w:cstheme="minorHAnsi"/>
          <w:lang w:val="en-GB" w:eastAsia="sl-SI"/>
        </w:rPr>
        <w:t>Act</w:t>
      </w:r>
      <w:r w:rsidR="003A5FC0" w:rsidRPr="00833419">
        <w:rPr>
          <w:rFonts w:eastAsia="Times New Roman" w:cstheme="minorHAnsi"/>
          <w:lang w:val="en-GB" w:eastAsia="sl-SI"/>
        </w:rPr>
        <w:t>.</w:t>
      </w:r>
    </w:p>
    <w:p w14:paraId="447BF806" w14:textId="43813829" w:rsidR="003A5FC0" w:rsidRPr="00833419" w:rsidRDefault="000A2680" w:rsidP="00C917AE">
      <w:pPr>
        <w:spacing w:before="100" w:beforeAutospacing="1" w:after="100" w:afterAutospacing="1" w:line="240" w:lineRule="auto"/>
        <w:jc w:val="both"/>
        <w:rPr>
          <w:rFonts w:eastAsia="Times New Roman" w:cstheme="minorHAnsi"/>
          <w:lang w:val="en-GB" w:eastAsia="sl-SI"/>
        </w:rPr>
      </w:pPr>
      <w:r w:rsidRPr="00833419">
        <w:rPr>
          <w:rFonts w:eastAsia="Times New Roman" w:cstheme="minorHAnsi"/>
          <w:lang w:val="en-GB" w:eastAsia="sl-SI"/>
        </w:rPr>
        <w:t>2</w:t>
      </w:r>
      <w:r w:rsidR="003A5FC0" w:rsidRPr="00833419">
        <w:rPr>
          <w:rFonts w:eastAsia="Times New Roman" w:cstheme="minorHAnsi"/>
          <w:lang w:val="en-GB" w:eastAsia="sl-SI"/>
        </w:rPr>
        <w:t>.   </w:t>
      </w:r>
      <w:r w:rsidRPr="00833419">
        <w:rPr>
          <w:rFonts w:eastAsia="Times New Roman" w:cstheme="minorHAnsi"/>
          <w:lang w:val="en-GB" w:eastAsia="sl-SI"/>
        </w:rPr>
        <w:t xml:space="preserve">Whistleblowers </w:t>
      </w:r>
      <w:r w:rsidR="003A5FC0" w:rsidRPr="00833419">
        <w:rPr>
          <w:rFonts w:eastAsia="Times New Roman" w:cstheme="minorHAnsi"/>
          <w:lang w:val="en-GB" w:eastAsia="sl-SI"/>
        </w:rPr>
        <w:t>shall not incur liability in respect of the acquisition of or access to the information</w:t>
      </w:r>
      <w:r w:rsidR="00C953AB" w:rsidRPr="00833419">
        <w:rPr>
          <w:rFonts w:eastAsia="Times New Roman" w:cstheme="minorHAnsi"/>
          <w:lang w:val="en-GB" w:eastAsia="sl-SI"/>
        </w:rPr>
        <w:t>,</w:t>
      </w:r>
      <w:r w:rsidR="003A5FC0" w:rsidRPr="00833419">
        <w:rPr>
          <w:rFonts w:eastAsia="Times New Roman" w:cstheme="minorHAnsi"/>
          <w:lang w:val="en-GB" w:eastAsia="sl-SI"/>
        </w:rPr>
        <w:t xml:space="preserve"> which is reported or publicly disclosed, provided that such acquisition or access did not constitute a self-standing criminal offence. In the event of the acquisition or access constituting a self-standing criminal offence, criminal liability shall continue to be governed by </w:t>
      </w:r>
      <w:r w:rsidRPr="00833419">
        <w:rPr>
          <w:rFonts w:eastAsia="Times New Roman" w:cstheme="minorHAnsi"/>
          <w:lang w:val="en-GB" w:eastAsia="sl-SI"/>
        </w:rPr>
        <w:t>the Criminal Code.</w:t>
      </w:r>
    </w:p>
    <w:p w14:paraId="62E6C49C" w14:textId="64384914" w:rsidR="003A5FC0" w:rsidRPr="00833419" w:rsidRDefault="000A2680" w:rsidP="00C917AE">
      <w:pPr>
        <w:spacing w:before="100" w:beforeAutospacing="1" w:after="100" w:afterAutospacing="1" w:line="240" w:lineRule="auto"/>
        <w:jc w:val="both"/>
        <w:rPr>
          <w:rFonts w:eastAsia="Times New Roman" w:cstheme="minorHAnsi"/>
          <w:lang w:val="en-GB" w:eastAsia="sl-SI"/>
        </w:rPr>
      </w:pPr>
      <w:r w:rsidRPr="00833419">
        <w:rPr>
          <w:rFonts w:eastAsia="Times New Roman" w:cstheme="minorHAnsi"/>
          <w:lang w:val="en-GB" w:eastAsia="sl-SI"/>
        </w:rPr>
        <w:t>3</w:t>
      </w:r>
      <w:r w:rsidR="003A5FC0" w:rsidRPr="00833419">
        <w:rPr>
          <w:rFonts w:eastAsia="Times New Roman" w:cstheme="minorHAnsi"/>
          <w:lang w:val="en-GB" w:eastAsia="sl-SI"/>
        </w:rPr>
        <w:t xml:space="preserve">.   Any other possible liability of reporting persons arising from acts or omissions which are unrelated to the reporting or public </w:t>
      </w:r>
      <w:proofErr w:type="gramStart"/>
      <w:r w:rsidR="003A5FC0" w:rsidRPr="00833419">
        <w:rPr>
          <w:rFonts w:eastAsia="Times New Roman" w:cstheme="minorHAnsi"/>
          <w:lang w:val="en-GB" w:eastAsia="sl-SI"/>
        </w:rPr>
        <w:t>disclosure</w:t>
      </w:r>
      <w:proofErr w:type="gramEnd"/>
      <w:r w:rsidR="003A5FC0" w:rsidRPr="00833419">
        <w:rPr>
          <w:rFonts w:eastAsia="Times New Roman" w:cstheme="minorHAnsi"/>
          <w:lang w:val="en-GB" w:eastAsia="sl-SI"/>
        </w:rPr>
        <w:t xml:space="preserve"> or which are not necessary for revealing a breach pursuant to this </w:t>
      </w:r>
      <w:r w:rsidRPr="00833419">
        <w:rPr>
          <w:rFonts w:eastAsia="Times New Roman" w:cstheme="minorHAnsi"/>
          <w:lang w:val="en-GB" w:eastAsia="sl-SI"/>
        </w:rPr>
        <w:t>Act</w:t>
      </w:r>
      <w:r w:rsidR="003A5FC0" w:rsidRPr="00833419">
        <w:rPr>
          <w:rFonts w:eastAsia="Times New Roman" w:cstheme="minorHAnsi"/>
          <w:lang w:val="en-GB" w:eastAsia="sl-SI"/>
        </w:rPr>
        <w:t xml:space="preserve"> shall continue to be governed by applicable </w:t>
      </w:r>
      <w:r w:rsidRPr="00833419">
        <w:rPr>
          <w:rFonts w:eastAsia="Times New Roman" w:cstheme="minorHAnsi"/>
          <w:lang w:val="en-GB" w:eastAsia="sl-SI"/>
        </w:rPr>
        <w:t xml:space="preserve">European </w:t>
      </w:r>
      <w:r w:rsidR="003A5FC0" w:rsidRPr="00833419">
        <w:rPr>
          <w:rFonts w:eastAsia="Times New Roman" w:cstheme="minorHAnsi"/>
          <w:lang w:val="en-GB" w:eastAsia="sl-SI"/>
        </w:rPr>
        <w:t>Union</w:t>
      </w:r>
      <w:r w:rsidRPr="00833419">
        <w:rPr>
          <w:rFonts w:eastAsia="Times New Roman" w:cstheme="minorHAnsi"/>
          <w:lang w:val="en-GB" w:eastAsia="sl-SI"/>
        </w:rPr>
        <w:t xml:space="preserve"> or national legislation.</w:t>
      </w:r>
    </w:p>
    <w:p w14:paraId="4A118AFC" w14:textId="0B25FBC1" w:rsidR="003A5FC0" w:rsidRPr="00833419" w:rsidRDefault="000A2680" w:rsidP="00C917AE">
      <w:pPr>
        <w:spacing w:before="100" w:beforeAutospacing="1" w:after="100" w:afterAutospacing="1" w:line="240" w:lineRule="auto"/>
        <w:jc w:val="both"/>
        <w:rPr>
          <w:rFonts w:eastAsia="Times New Roman" w:cstheme="minorHAnsi"/>
          <w:lang w:val="en-GB" w:eastAsia="sl-SI"/>
        </w:rPr>
      </w:pPr>
      <w:r w:rsidRPr="00833419">
        <w:rPr>
          <w:rFonts w:eastAsia="Times New Roman" w:cstheme="minorHAnsi"/>
          <w:lang w:val="en-GB" w:eastAsia="sl-SI"/>
        </w:rPr>
        <w:t>4</w:t>
      </w:r>
      <w:r w:rsidR="003A5FC0" w:rsidRPr="00833419">
        <w:rPr>
          <w:rFonts w:eastAsia="Times New Roman" w:cstheme="minorHAnsi"/>
          <w:lang w:val="en-GB" w:eastAsia="sl-SI"/>
        </w:rPr>
        <w:t>.   In proceedings before a court or other authority relating to a detriment suffered by the reporting person, and subject to that person establishing that he or she reported or made a public disclosure and suffered a detriment, it shall be presumed that the detriment was made in retaliation for the report or the public disclosure. In such cases, it shall be for the person who has taken the detrimental measure to prove that that measure was based on duly justified grounds.</w:t>
      </w:r>
    </w:p>
    <w:p w14:paraId="28120947" w14:textId="62B2E009" w:rsidR="008964A9" w:rsidRPr="00833419" w:rsidRDefault="00C31E66" w:rsidP="00C917AE">
      <w:pPr>
        <w:spacing w:before="100" w:beforeAutospacing="1" w:after="100" w:afterAutospacing="1" w:line="240" w:lineRule="auto"/>
        <w:jc w:val="both"/>
        <w:rPr>
          <w:rFonts w:eastAsia="Times New Roman" w:cstheme="minorHAnsi"/>
          <w:lang w:val="en-GB" w:eastAsia="sl-SI"/>
        </w:rPr>
      </w:pPr>
      <w:r w:rsidRPr="00833419">
        <w:rPr>
          <w:rFonts w:eastAsia="Times New Roman" w:cstheme="minorHAnsi"/>
          <w:lang w:val="en-GB" w:eastAsia="sl-SI"/>
        </w:rPr>
        <w:t>5</w:t>
      </w:r>
      <w:r w:rsidR="003A5FC0" w:rsidRPr="00833419">
        <w:rPr>
          <w:rFonts w:eastAsia="Times New Roman" w:cstheme="minorHAnsi"/>
          <w:lang w:val="en-GB" w:eastAsia="sl-SI"/>
        </w:rPr>
        <w:t>.   </w:t>
      </w:r>
      <w:r w:rsidR="008964A9" w:rsidRPr="00833419">
        <w:rPr>
          <w:rFonts w:eastAsia="Times New Roman" w:cstheme="minorHAnsi"/>
          <w:lang w:val="en-GB" w:eastAsia="sl-SI"/>
        </w:rPr>
        <w:t>Whistleblower may seek judicial redress before a competent court against the retaliation referred to in Article 19 of this Act. If the whistleblower proves in the interim</w:t>
      </w:r>
      <w:r w:rsidR="006025A4" w:rsidRPr="00833419">
        <w:rPr>
          <w:rFonts w:eastAsia="Times New Roman" w:cstheme="minorHAnsi"/>
          <w:lang w:val="en-GB" w:eastAsia="sl-SI"/>
        </w:rPr>
        <w:t xml:space="preserve"> relief</w:t>
      </w:r>
      <w:r w:rsidR="008964A9" w:rsidRPr="00833419">
        <w:rPr>
          <w:rFonts w:eastAsia="Times New Roman" w:cstheme="minorHAnsi"/>
          <w:lang w:val="en-GB" w:eastAsia="sl-SI"/>
        </w:rPr>
        <w:t xml:space="preserve"> proceedings that he has made a </w:t>
      </w:r>
      <w:r w:rsidR="006025A4" w:rsidRPr="00833419">
        <w:rPr>
          <w:rFonts w:eastAsia="Times New Roman" w:cstheme="minorHAnsi"/>
          <w:lang w:val="en-GB" w:eastAsia="sl-SI"/>
        </w:rPr>
        <w:t>report</w:t>
      </w:r>
      <w:r w:rsidR="008964A9" w:rsidRPr="00833419">
        <w:rPr>
          <w:rFonts w:eastAsia="Times New Roman" w:cstheme="minorHAnsi"/>
          <w:lang w:val="en-GB" w:eastAsia="sl-SI"/>
        </w:rPr>
        <w:t xml:space="preserve"> prior to the retaliat</w:t>
      </w:r>
      <w:r w:rsidR="006025A4" w:rsidRPr="00833419">
        <w:rPr>
          <w:rFonts w:eastAsia="Times New Roman" w:cstheme="minorHAnsi"/>
          <w:lang w:val="en-GB" w:eastAsia="sl-SI"/>
        </w:rPr>
        <w:t>ion</w:t>
      </w:r>
      <w:r w:rsidR="008964A9" w:rsidRPr="00833419">
        <w:rPr>
          <w:rFonts w:eastAsia="Times New Roman" w:cstheme="minorHAnsi"/>
          <w:lang w:val="en-GB" w:eastAsia="sl-SI"/>
        </w:rPr>
        <w:t>, it shall be deemed that there is a risk that the enforcement of the claim will be pre</w:t>
      </w:r>
      <w:r w:rsidR="006025A4" w:rsidRPr="00833419">
        <w:rPr>
          <w:rFonts w:eastAsia="Times New Roman" w:cstheme="minorHAnsi"/>
          <w:lang w:val="en-GB" w:eastAsia="sl-SI"/>
        </w:rPr>
        <w:t>vented or substantially impeded.</w:t>
      </w:r>
    </w:p>
    <w:p w14:paraId="189F1AE2" w14:textId="47D2007D" w:rsidR="00A91FB6" w:rsidRPr="00833419" w:rsidRDefault="00C31E66" w:rsidP="00A02B91">
      <w:pPr>
        <w:spacing w:before="100" w:beforeAutospacing="1" w:after="100" w:afterAutospacing="1" w:line="240" w:lineRule="auto"/>
        <w:jc w:val="both"/>
        <w:rPr>
          <w:rFonts w:eastAsia="Times New Roman" w:cstheme="minorHAnsi"/>
          <w:lang w:val="en-GB" w:eastAsia="sl-SI"/>
        </w:rPr>
      </w:pPr>
      <w:r w:rsidRPr="00833419">
        <w:rPr>
          <w:rFonts w:eastAsia="Times New Roman" w:cstheme="minorHAnsi"/>
          <w:lang w:val="en-GB" w:eastAsia="sl-SI"/>
        </w:rPr>
        <w:t>6</w:t>
      </w:r>
      <w:r w:rsidR="003A5FC0" w:rsidRPr="00833419">
        <w:rPr>
          <w:rFonts w:eastAsia="Times New Roman" w:cstheme="minorHAnsi"/>
          <w:lang w:val="en-GB" w:eastAsia="sl-SI"/>
        </w:rPr>
        <w:t xml:space="preserve">.   In legal proceedings, including for defamation, breach of copyright, breach of secrecy, breach of data protection rules, disclosure of trade secrets, or for compensation claims based on private, public, or on collective labour law, </w:t>
      </w:r>
      <w:r w:rsidR="000A2680" w:rsidRPr="00833419">
        <w:rPr>
          <w:rFonts w:eastAsia="Times New Roman" w:cstheme="minorHAnsi"/>
          <w:lang w:val="en-GB" w:eastAsia="sl-SI"/>
        </w:rPr>
        <w:t xml:space="preserve">Whistleblowers </w:t>
      </w:r>
      <w:r w:rsidR="003A5FC0" w:rsidRPr="00833419">
        <w:rPr>
          <w:rFonts w:eastAsia="Times New Roman" w:cstheme="minorHAnsi"/>
          <w:lang w:val="en-GB" w:eastAsia="sl-SI"/>
        </w:rPr>
        <w:t xml:space="preserve">shall not incur liability of any kind </w:t>
      </w:r>
      <w:proofErr w:type="gramStart"/>
      <w:r w:rsidR="003A5FC0" w:rsidRPr="00833419">
        <w:rPr>
          <w:rFonts w:eastAsia="Times New Roman" w:cstheme="minorHAnsi"/>
          <w:lang w:val="en-GB" w:eastAsia="sl-SI"/>
        </w:rPr>
        <w:t>as a result of</w:t>
      </w:r>
      <w:proofErr w:type="gramEnd"/>
      <w:r w:rsidR="003A5FC0" w:rsidRPr="00833419">
        <w:rPr>
          <w:rFonts w:eastAsia="Times New Roman" w:cstheme="minorHAnsi"/>
          <w:lang w:val="en-GB" w:eastAsia="sl-SI"/>
        </w:rPr>
        <w:t xml:space="preserve"> reports or public disclosures under this</w:t>
      </w:r>
      <w:r w:rsidR="000A2680" w:rsidRPr="00833419">
        <w:rPr>
          <w:rFonts w:eastAsia="Times New Roman" w:cstheme="minorHAnsi"/>
          <w:lang w:val="en-GB" w:eastAsia="sl-SI"/>
        </w:rPr>
        <w:t xml:space="preserve"> Act</w:t>
      </w:r>
      <w:r w:rsidR="003A5FC0" w:rsidRPr="00833419">
        <w:rPr>
          <w:rFonts w:eastAsia="Times New Roman" w:cstheme="minorHAnsi"/>
          <w:lang w:val="en-GB" w:eastAsia="sl-SI"/>
        </w:rPr>
        <w:t xml:space="preserve">. Those persons shall have the right to rely on that reporting or public disclosure to seek dismissal of the case, </w:t>
      </w:r>
      <w:r w:rsidR="006B03C3" w:rsidRPr="00833419">
        <w:rPr>
          <w:rFonts w:eastAsia="Times New Roman" w:cstheme="minorHAnsi"/>
          <w:lang w:val="en-GB" w:eastAsia="sl-SI"/>
        </w:rPr>
        <w:t>if</w:t>
      </w:r>
      <w:r w:rsidR="003A5FC0" w:rsidRPr="00833419">
        <w:rPr>
          <w:rFonts w:eastAsia="Times New Roman" w:cstheme="minorHAnsi"/>
          <w:lang w:val="en-GB" w:eastAsia="sl-SI"/>
        </w:rPr>
        <w:t xml:space="preserve"> they had reasonable grounds to believe that the reporting or public disclosure was necessary for revealing a breach, pursuant to this </w:t>
      </w:r>
      <w:r w:rsidR="000A2680" w:rsidRPr="00833419">
        <w:rPr>
          <w:rFonts w:eastAsia="Times New Roman" w:cstheme="minorHAnsi"/>
          <w:lang w:val="en-GB" w:eastAsia="sl-SI"/>
        </w:rPr>
        <w:t>Act</w:t>
      </w:r>
      <w:r w:rsidR="003A5FC0" w:rsidRPr="00833419">
        <w:rPr>
          <w:rFonts w:eastAsia="Times New Roman" w:cstheme="minorHAnsi"/>
          <w:lang w:val="en-GB" w:eastAsia="sl-SI"/>
        </w:rPr>
        <w:t>.</w:t>
      </w:r>
    </w:p>
    <w:p w14:paraId="3F6E779A" w14:textId="55B40A19" w:rsidR="00A91FB6" w:rsidRPr="00833419" w:rsidRDefault="002B0AAF" w:rsidP="00A02B91">
      <w:pPr>
        <w:rPr>
          <w:rFonts w:cstheme="minorHAnsi"/>
          <w:b/>
          <w:lang w:val="en-GB"/>
        </w:rPr>
      </w:pPr>
      <w:r w:rsidRPr="00833419">
        <w:rPr>
          <w:rFonts w:cstheme="minorHAnsi"/>
          <w:b/>
          <w:lang w:val="en-GB"/>
        </w:rPr>
        <w:lastRenderedPageBreak/>
        <w:t xml:space="preserve">Appendix 2: Whistleblower Directive - </w:t>
      </w:r>
      <w:hyperlink r:id="rId13" w:history="1">
        <w:r w:rsidRPr="00833419">
          <w:rPr>
            <w:rStyle w:val="Hiperpovezava"/>
            <w:rFonts w:cstheme="minorHAnsi"/>
            <w:b/>
            <w:lang w:val="en-GB"/>
          </w:rPr>
          <w:t>https://eur-lex.europa.eu/legal-content/EN/TXT/?uri=celex%3A32019L1937</w:t>
        </w:r>
      </w:hyperlink>
      <w:r w:rsidRPr="00833419">
        <w:rPr>
          <w:rFonts w:cstheme="minorHAnsi"/>
          <w:b/>
          <w:lang w:val="en-GB"/>
        </w:rPr>
        <w:t xml:space="preserve"> </w:t>
      </w:r>
    </w:p>
    <w:p w14:paraId="76F43AD8" w14:textId="77777777" w:rsidR="00A02B91" w:rsidRPr="00833419" w:rsidRDefault="00A02B91" w:rsidP="00A02B91">
      <w:pPr>
        <w:rPr>
          <w:rFonts w:cstheme="minorHAnsi"/>
          <w:lang w:val="en-GB"/>
        </w:rPr>
      </w:pPr>
    </w:p>
    <w:p w14:paraId="39BB6C6E" w14:textId="643D9D13" w:rsidR="00A91FB6" w:rsidRPr="00833419" w:rsidRDefault="002B0AAF" w:rsidP="00A02B91">
      <w:pPr>
        <w:rPr>
          <w:rFonts w:cstheme="minorHAnsi"/>
          <w:b/>
          <w:lang w:val="en-GB"/>
        </w:rPr>
      </w:pPr>
      <w:r w:rsidRPr="00833419">
        <w:rPr>
          <w:rFonts w:cstheme="minorHAnsi"/>
          <w:b/>
          <w:lang w:val="en-GB"/>
        </w:rPr>
        <w:t>Appendix 3</w:t>
      </w:r>
      <w:r w:rsidR="00A91FB6" w:rsidRPr="00833419">
        <w:rPr>
          <w:rFonts w:cstheme="minorHAnsi"/>
          <w:b/>
          <w:lang w:val="en-GB"/>
        </w:rPr>
        <w:t>:</w:t>
      </w:r>
      <w:r w:rsidRPr="00833419">
        <w:rPr>
          <w:rFonts w:cstheme="minorHAnsi"/>
          <w:b/>
          <w:lang w:val="en-GB"/>
        </w:rPr>
        <w:t xml:space="preserve"> Other r</w:t>
      </w:r>
      <w:r w:rsidR="00A91FB6" w:rsidRPr="00833419">
        <w:rPr>
          <w:rFonts w:cstheme="minorHAnsi"/>
          <w:b/>
          <w:lang w:val="en-GB"/>
        </w:rPr>
        <w:t>elevant provisions of EU law</w:t>
      </w:r>
    </w:p>
    <w:p w14:paraId="663B8B18" w14:textId="77777777" w:rsidR="00A91FB6" w:rsidRPr="00833419" w:rsidRDefault="00A91FB6" w:rsidP="00A02B91">
      <w:pPr>
        <w:jc w:val="both"/>
        <w:rPr>
          <w:rFonts w:cstheme="minorHAnsi"/>
          <w:lang w:val="en-GB"/>
        </w:rPr>
      </w:pPr>
      <w:r w:rsidRPr="00833419">
        <w:rPr>
          <w:rFonts w:cstheme="minorHAnsi"/>
          <w:lang w:val="en-GB"/>
        </w:rPr>
        <w:t xml:space="preserve">Article 51 of the Charter: </w:t>
      </w:r>
    </w:p>
    <w:p w14:paraId="1553F2AF" w14:textId="77777777" w:rsidR="00A91FB6" w:rsidRPr="00833419" w:rsidRDefault="00A91FB6" w:rsidP="00A02B91">
      <w:pPr>
        <w:jc w:val="both"/>
        <w:rPr>
          <w:rFonts w:cstheme="minorHAnsi"/>
          <w:i/>
          <w:lang w:val="en-GB"/>
        </w:rPr>
      </w:pPr>
      <w:r w:rsidRPr="00833419">
        <w:rPr>
          <w:rFonts w:cstheme="minorHAnsi"/>
          <w:i/>
          <w:lang w:val="en-GB"/>
        </w:rPr>
        <w:t>Field of application</w:t>
      </w:r>
    </w:p>
    <w:p w14:paraId="5091EAAE" w14:textId="77777777" w:rsidR="00A91FB6" w:rsidRPr="00833419" w:rsidRDefault="00A91FB6" w:rsidP="00A02B91">
      <w:pPr>
        <w:jc w:val="both"/>
        <w:rPr>
          <w:rFonts w:cstheme="minorHAnsi"/>
          <w:i/>
          <w:lang w:val="en-GB"/>
        </w:rPr>
      </w:pPr>
      <w:r w:rsidRPr="00833419">
        <w:rPr>
          <w:rFonts w:cstheme="minorHAnsi"/>
          <w:i/>
          <w:lang w:val="en-GB"/>
        </w:rPr>
        <w:t xml:space="preserve">1. The provisions of this Charter are addressed to the institutions, bodies, </w:t>
      </w:r>
      <w:proofErr w:type="gramStart"/>
      <w:r w:rsidRPr="00833419">
        <w:rPr>
          <w:rFonts w:cstheme="minorHAnsi"/>
          <w:i/>
          <w:lang w:val="en-GB"/>
        </w:rPr>
        <w:t>offices</w:t>
      </w:r>
      <w:proofErr w:type="gramEnd"/>
      <w:r w:rsidRPr="00833419">
        <w:rPr>
          <w:rFonts w:cstheme="minorHAnsi"/>
          <w:i/>
          <w:lang w:val="en-GB"/>
        </w:rPr>
        <w:t xml:space="preserve"> and agencies of the Union with due regard for the principle of subsidiarity and to the Member States only when they are </w:t>
      </w:r>
      <w:r w:rsidRPr="00833419">
        <w:rPr>
          <w:rFonts w:cstheme="minorHAnsi"/>
          <w:b/>
          <w:i/>
          <w:lang w:val="en-GB"/>
        </w:rPr>
        <w:t>implementing Union law</w:t>
      </w:r>
      <w:r w:rsidRPr="00833419">
        <w:rPr>
          <w:rFonts w:cstheme="minorHAnsi"/>
          <w:i/>
          <w:lang w:val="en-GB"/>
        </w:rPr>
        <w:t xml:space="preserve">. They shall therefore respect the rights, observe the </w:t>
      </w:r>
      <w:proofErr w:type="gramStart"/>
      <w:r w:rsidRPr="00833419">
        <w:rPr>
          <w:rFonts w:cstheme="minorHAnsi"/>
          <w:i/>
          <w:lang w:val="en-GB"/>
        </w:rPr>
        <w:t>principles</w:t>
      </w:r>
      <w:proofErr w:type="gramEnd"/>
      <w:r w:rsidRPr="00833419">
        <w:rPr>
          <w:rFonts w:cstheme="minorHAnsi"/>
          <w:i/>
          <w:lang w:val="en-GB"/>
        </w:rPr>
        <w:t xml:space="preserve"> and promote the application thereof in accordance with their respective powers and respecting the limits of the powers of the Union as conferred on it in the Treaties.</w:t>
      </w:r>
    </w:p>
    <w:p w14:paraId="64CECE53" w14:textId="70F06566" w:rsidR="00A91FB6" w:rsidRPr="00833419" w:rsidRDefault="00A91FB6" w:rsidP="00A02B91">
      <w:pPr>
        <w:jc w:val="both"/>
        <w:rPr>
          <w:rFonts w:cstheme="minorHAnsi"/>
          <w:i/>
          <w:lang w:val="en-GB"/>
        </w:rPr>
      </w:pPr>
      <w:r w:rsidRPr="00833419">
        <w:rPr>
          <w:rFonts w:cstheme="minorHAnsi"/>
          <w:i/>
          <w:lang w:val="en-GB"/>
        </w:rPr>
        <w:t xml:space="preserve">2. The </w:t>
      </w:r>
      <w:r w:rsidRPr="00833419">
        <w:rPr>
          <w:rFonts w:cstheme="minorHAnsi"/>
          <w:b/>
          <w:i/>
          <w:lang w:val="en-GB"/>
        </w:rPr>
        <w:t>Charter does not extend the field of application of Union law beyond the powers of the Union or establish any new power or task for the Union</w:t>
      </w:r>
      <w:r w:rsidRPr="00833419">
        <w:rPr>
          <w:rFonts w:cstheme="minorHAnsi"/>
          <w:i/>
          <w:lang w:val="en-GB"/>
        </w:rPr>
        <w:t>, or modify powers and tasks as defined in the Treaties.</w:t>
      </w:r>
    </w:p>
    <w:p w14:paraId="61B2E171" w14:textId="77777777" w:rsidR="00A91FB6" w:rsidRPr="00833419" w:rsidRDefault="00A91FB6" w:rsidP="00A02B91">
      <w:pPr>
        <w:jc w:val="both"/>
        <w:rPr>
          <w:rFonts w:cstheme="minorHAnsi"/>
          <w:lang w:val="en-GB"/>
        </w:rPr>
      </w:pPr>
    </w:p>
    <w:sectPr w:rsidR="00A91FB6" w:rsidRPr="00833419">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A6A1D" w14:textId="77777777" w:rsidR="00FC509D" w:rsidRDefault="00FC509D" w:rsidP="008F19FE">
      <w:pPr>
        <w:spacing w:after="0" w:line="240" w:lineRule="auto"/>
      </w:pPr>
      <w:r>
        <w:separator/>
      </w:r>
    </w:p>
  </w:endnote>
  <w:endnote w:type="continuationSeparator" w:id="0">
    <w:p w14:paraId="640A763C" w14:textId="77777777" w:rsidR="00FC509D" w:rsidRDefault="00FC509D" w:rsidP="008F1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dvOT635f2c37">
    <w:altName w:val="MV Boli"/>
    <w:panose1 w:val="00000000000000000000"/>
    <w:charset w:val="00"/>
    <w:family w:val="roman"/>
    <w:notTrueType/>
    <w:pitch w:val="default"/>
    <w:sig w:usb0="00000003" w:usb1="00000000" w:usb2="00000000" w:usb3="00000000" w:csb0="00000001" w:csb1="00000000"/>
  </w:font>
  <w:font w:name="Calibri">
    <w:altName w:val="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Albertina">
    <w:altName w:val="EU Albertina"/>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DaxlinePro-Medium">
    <w:altName w:val="DaxlinePro-Medium"/>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918596"/>
      <w:docPartObj>
        <w:docPartGallery w:val="Page Numbers (Bottom of Page)"/>
        <w:docPartUnique/>
      </w:docPartObj>
    </w:sdtPr>
    <w:sdtContent>
      <w:p w14:paraId="7C38A4EA" w14:textId="428F3857" w:rsidR="002E2F01" w:rsidRDefault="002E2F01">
        <w:pPr>
          <w:pStyle w:val="Noga"/>
          <w:jc w:val="right"/>
        </w:pPr>
        <w:r>
          <w:fldChar w:fldCharType="begin"/>
        </w:r>
        <w:r>
          <w:instrText>PAGE   \* MERGEFORMAT</w:instrText>
        </w:r>
        <w:r>
          <w:fldChar w:fldCharType="separate"/>
        </w:r>
        <w:r>
          <w:t>2</w:t>
        </w:r>
        <w:r>
          <w:fldChar w:fldCharType="end"/>
        </w:r>
      </w:p>
    </w:sdtContent>
  </w:sdt>
  <w:p w14:paraId="162AF601" w14:textId="77777777" w:rsidR="002E2F01" w:rsidRDefault="002E2F0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1E4FC" w14:textId="77777777" w:rsidR="00FC509D" w:rsidRDefault="00FC509D" w:rsidP="008F19FE">
      <w:pPr>
        <w:spacing w:after="0" w:line="240" w:lineRule="auto"/>
      </w:pPr>
      <w:r>
        <w:separator/>
      </w:r>
    </w:p>
  </w:footnote>
  <w:footnote w:type="continuationSeparator" w:id="0">
    <w:p w14:paraId="1793DF1D" w14:textId="77777777" w:rsidR="00FC509D" w:rsidRDefault="00FC509D" w:rsidP="008F19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24373C"/>
    <w:multiLevelType w:val="hybridMultilevel"/>
    <w:tmpl w:val="6AA759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51331B"/>
    <w:multiLevelType w:val="hybridMultilevel"/>
    <w:tmpl w:val="4F68A3A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695D335"/>
    <w:multiLevelType w:val="hybridMultilevel"/>
    <w:tmpl w:val="08D031FB"/>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8646F9C"/>
    <w:multiLevelType w:val="hybridMultilevel"/>
    <w:tmpl w:val="AE9E8C66"/>
    <w:lvl w:ilvl="0" w:tplc="0424000F">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C975226"/>
    <w:multiLevelType w:val="hybridMultilevel"/>
    <w:tmpl w:val="EA74F5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0CB1999"/>
    <w:multiLevelType w:val="hybridMultilevel"/>
    <w:tmpl w:val="47201102"/>
    <w:lvl w:ilvl="0" w:tplc="F0A4762E">
      <w:start w:val="19"/>
      <w:numFmt w:val="bullet"/>
      <w:lvlText w:val="-"/>
      <w:lvlJc w:val="left"/>
      <w:pPr>
        <w:ind w:left="720" w:hanging="360"/>
      </w:pPr>
      <w:rPr>
        <w:rFonts w:ascii="AdvOT635f2c37" w:eastAsiaTheme="minorHAnsi" w:hAnsi="AdvOT635f2c37" w:cs="AdvOT635f2c37"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4585F3C"/>
    <w:multiLevelType w:val="hybridMultilevel"/>
    <w:tmpl w:val="B4CA4F80"/>
    <w:lvl w:ilvl="0" w:tplc="E2F4651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6201A82"/>
    <w:multiLevelType w:val="hybridMultilevel"/>
    <w:tmpl w:val="DB3285EC"/>
    <w:lvl w:ilvl="0" w:tplc="25F2416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80441E9"/>
    <w:multiLevelType w:val="hybridMultilevel"/>
    <w:tmpl w:val="816C7102"/>
    <w:lvl w:ilvl="0" w:tplc="D7685ACA">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408D227A"/>
    <w:multiLevelType w:val="hybridMultilevel"/>
    <w:tmpl w:val="808AA76C"/>
    <w:lvl w:ilvl="0" w:tplc="669AB67E">
      <w:start w:val="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1D265EB"/>
    <w:multiLevelType w:val="hybridMultilevel"/>
    <w:tmpl w:val="B63A48BE"/>
    <w:lvl w:ilvl="0" w:tplc="3D60EF88">
      <w:start w:val="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B27C1FA"/>
    <w:multiLevelType w:val="hybridMultilevel"/>
    <w:tmpl w:val="97FD323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468702D"/>
    <w:multiLevelType w:val="hybridMultilevel"/>
    <w:tmpl w:val="2B7EE5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8B55D26"/>
    <w:multiLevelType w:val="hybridMultilevel"/>
    <w:tmpl w:val="F026A0F6"/>
    <w:lvl w:ilvl="0" w:tplc="46ACA052">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CE5792B"/>
    <w:multiLevelType w:val="hybridMultilevel"/>
    <w:tmpl w:val="97EE08E4"/>
    <w:lvl w:ilvl="0" w:tplc="53507F5E">
      <w:start w:val="1"/>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D0E31CB"/>
    <w:multiLevelType w:val="hybridMultilevel"/>
    <w:tmpl w:val="C0B4593C"/>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49A2598"/>
    <w:multiLevelType w:val="hybridMultilevel"/>
    <w:tmpl w:val="2B7EE5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61927CE"/>
    <w:multiLevelType w:val="hybridMultilevel"/>
    <w:tmpl w:val="B6AC99D2"/>
    <w:lvl w:ilvl="0" w:tplc="A31CEAA0">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CE00FCF"/>
    <w:multiLevelType w:val="hybridMultilevel"/>
    <w:tmpl w:val="38AC847C"/>
    <w:lvl w:ilvl="0" w:tplc="F08A78C2">
      <w:start w:val="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DBB6625"/>
    <w:multiLevelType w:val="hybridMultilevel"/>
    <w:tmpl w:val="22AED878"/>
    <w:lvl w:ilvl="0" w:tplc="E8BC1F04">
      <w:start w:val="3"/>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72E806BA"/>
    <w:multiLevelType w:val="hybridMultilevel"/>
    <w:tmpl w:val="0F3A89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765DE69"/>
    <w:multiLevelType w:val="hybridMultilevel"/>
    <w:tmpl w:val="D4F35FFB"/>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A1559CC"/>
    <w:multiLevelType w:val="hybridMultilevel"/>
    <w:tmpl w:val="E0E681A4"/>
    <w:lvl w:ilvl="0" w:tplc="04BA92F4">
      <w:start w:val="1"/>
      <w:numFmt w:val="decimal"/>
      <w:lvlText w:val="%1."/>
      <w:lvlJc w:val="left"/>
      <w:pPr>
        <w:ind w:left="720" w:hanging="360"/>
      </w:pPr>
      <w:rPr>
        <w:rFonts w:hint="default"/>
        <w:i w:val="0"/>
        <w:iCs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C936389"/>
    <w:multiLevelType w:val="hybridMultilevel"/>
    <w:tmpl w:val="7DC0CFEA"/>
    <w:lvl w:ilvl="0" w:tplc="669AB67E">
      <w:start w:val="6"/>
      <w:numFmt w:val="bullet"/>
      <w:lvlText w:val="-"/>
      <w:lvlJc w:val="left"/>
      <w:pPr>
        <w:ind w:left="1440" w:hanging="360"/>
      </w:pPr>
      <w:rPr>
        <w:rFonts w:ascii="Calibri" w:eastAsiaTheme="minorHAnsi"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4" w15:restartNumberingAfterBreak="0">
    <w:nsid w:val="7FE84248"/>
    <w:multiLevelType w:val="hybridMultilevel"/>
    <w:tmpl w:val="6ED43B80"/>
    <w:lvl w:ilvl="0" w:tplc="0FE8763C">
      <w:start w:val="3"/>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156384363">
    <w:abstractNumId w:val="15"/>
  </w:num>
  <w:num w:numId="2" w16cid:durableId="1563980224">
    <w:abstractNumId w:val="14"/>
  </w:num>
  <w:num w:numId="3" w16cid:durableId="1422990081">
    <w:abstractNumId w:val="0"/>
  </w:num>
  <w:num w:numId="4" w16cid:durableId="870076247">
    <w:abstractNumId w:val="11"/>
  </w:num>
  <w:num w:numId="5" w16cid:durableId="1681858023">
    <w:abstractNumId w:val="21"/>
  </w:num>
  <w:num w:numId="6" w16cid:durableId="1950971763">
    <w:abstractNumId w:val="16"/>
  </w:num>
  <w:num w:numId="7" w16cid:durableId="1491561778">
    <w:abstractNumId w:val="2"/>
  </w:num>
  <w:num w:numId="8" w16cid:durableId="1719744343">
    <w:abstractNumId w:val="17"/>
  </w:num>
  <w:num w:numId="9" w16cid:durableId="1740445618">
    <w:abstractNumId w:val="13"/>
  </w:num>
  <w:num w:numId="10" w16cid:durableId="41952396">
    <w:abstractNumId w:val="7"/>
  </w:num>
  <w:num w:numId="11" w16cid:durableId="1738433145">
    <w:abstractNumId w:val="12"/>
  </w:num>
  <w:num w:numId="12" w16cid:durableId="1445730028">
    <w:abstractNumId w:val="22"/>
  </w:num>
  <w:num w:numId="13" w16cid:durableId="1470050313">
    <w:abstractNumId w:val="18"/>
  </w:num>
  <w:num w:numId="14" w16cid:durableId="1133450471">
    <w:abstractNumId w:val="20"/>
  </w:num>
  <w:num w:numId="15" w16cid:durableId="1108624006">
    <w:abstractNumId w:val="10"/>
  </w:num>
  <w:num w:numId="16" w16cid:durableId="1045059686">
    <w:abstractNumId w:val="3"/>
  </w:num>
  <w:num w:numId="17" w16cid:durableId="100300787">
    <w:abstractNumId w:val="5"/>
  </w:num>
  <w:num w:numId="18" w16cid:durableId="190337665">
    <w:abstractNumId w:val="8"/>
  </w:num>
  <w:num w:numId="19" w16cid:durableId="387725789">
    <w:abstractNumId w:val="24"/>
  </w:num>
  <w:num w:numId="20" w16cid:durableId="1468162761">
    <w:abstractNumId w:val="19"/>
  </w:num>
  <w:num w:numId="21" w16cid:durableId="1422263447">
    <w:abstractNumId w:val="9"/>
  </w:num>
  <w:num w:numId="22" w16cid:durableId="314342491">
    <w:abstractNumId w:val="23"/>
  </w:num>
  <w:num w:numId="23" w16cid:durableId="1851944339">
    <w:abstractNumId w:val="4"/>
  </w:num>
  <w:num w:numId="24" w16cid:durableId="492181244">
    <w:abstractNumId w:val="6"/>
  </w:num>
  <w:num w:numId="25" w16cid:durableId="624191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60E"/>
    <w:rsid w:val="00007023"/>
    <w:rsid w:val="0000761E"/>
    <w:rsid w:val="000109CA"/>
    <w:rsid w:val="00011810"/>
    <w:rsid w:val="00024C8E"/>
    <w:rsid w:val="00025E47"/>
    <w:rsid w:val="00026BCE"/>
    <w:rsid w:val="00026EEB"/>
    <w:rsid w:val="00032F2F"/>
    <w:rsid w:val="000336EE"/>
    <w:rsid w:val="00033FC2"/>
    <w:rsid w:val="0004308C"/>
    <w:rsid w:val="00050E03"/>
    <w:rsid w:val="00056EEA"/>
    <w:rsid w:val="00057102"/>
    <w:rsid w:val="00064CE9"/>
    <w:rsid w:val="00066381"/>
    <w:rsid w:val="00066833"/>
    <w:rsid w:val="000828D4"/>
    <w:rsid w:val="00087C64"/>
    <w:rsid w:val="000A2680"/>
    <w:rsid w:val="000B421D"/>
    <w:rsid w:val="000D3387"/>
    <w:rsid w:val="000D572D"/>
    <w:rsid w:val="000D7F64"/>
    <w:rsid w:val="000E0040"/>
    <w:rsid w:val="000E0DE8"/>
    <w:rsid w:val="000E2139"/>
    <w:rsid w:val="000F25F7"/>
    <w:rsid w:val="0010175A"/>
    <w:rsid w:val="001021E3"/>
    <w:rsid w:val="00106C37"/>
    <w:rsid w:val="00107386"/>
    <w:rsid w:val="0011003F"/>
    <w:rsid w:val="001102BD"/>
    <w:rsid w:val="001105E8"/>
    <w:rsid w:val="0012126C"/>
    <w:rsid w:val="00124129"/>
    <w:rsid w:val="00141F3F"/>
    <w:rsid w:val="00143AF8"/>
    <w:rsid w:val="001719C0"/>
    <w:rsid w:val="0017276A"/>
    <w:rsid w:val="00180CCF"/>
    <w:rsid w:val="001A3330"/>
    <w:rsid w:val="001B5632"/>
    <w:rsid w:val="001C286C"/>
    <w:rsid w:val="001D01FD"/>
    <w:rsid w:val="001D15A2"/>
    <w:rsid w:val="001D6369"/>
    <w:rsid w:val="001E071E"/>
    <w:rsid w:val="001E1BF1"/>
    <w:rsid w:val="001F0062"/>
    <w:rsid w:val="001F1CC2"/>
    <w:rsid w:val="001F27CA"/>
    <w:rsid w:val="001F4487"/>
    <w:rsid w:val="001F7343"/>
    <w:rsid w:val="001F74F3"/>
    <w:rsid w:val="00203E3C"/>
    <w:rsid w:val="00204118"/>
    <w:rsid w:val="002155FF"/>
    <w:rsid w:val="002449CA"/>
    <w:rsid w:val="0024554C"/>
    <w:rsid w:val="00251AAD"/>
    <w:rsid w:val="00252035"/>
    <w:rsid w:val="00265228"/>
    <w:rsid w:val="002676FE"/>
    <w:rsid w:val="002679D2"/>
    <w:rsid w:val="00272228"/>
    <w:rsid w:val="00275F39"/>
    <w:rsid w:val="00277906"/>
    <w:rsid w:val="002807B8"/>
    <w:rsid w:val="00280E54"/>
    <w:rsid w:val="002849CE"/>
    <w:rsid w:val="00287AE0"/>
    <w:rsid w:val="00294117"/>
    <w:rsid w:val="002A1A53"/>
    <w:rsid w:val="002A4BDD"/>
    <w:rsid w:val="002A7A43"/>
    <w:rsid w:val="002A7E6D"/>
    <w:rsid w:val="002B0AAF"/>
    <w:rsid w:val="002B3A4F"/>
    <w:rsid w:val="002C0625"/>
    <w:rsid w:val="002C5A65"/>
    <w:rsid w:val="002D27E5"/>
    <w:rsid w:val="002D656C"/>
    <w:rsid w:val="002E2F01"/>
    <w:rsid w:val="002F7688"/>
    <w:rsid w:val="00300502"/>
    <w:rsid w:val="0030155E"/>
    <w:rsid w:val="00312424"/>
    <w:rsid w:val="003208E1"/>
    <w:rsid w:val="003213A6"/>
    <w:rsid w:val="00334733"/>
    <w:rsid w:val="003348B7"/>
    <w:rsid w:val="00344C60"/>
    <w:rsid w:val="003539F5"/>
    <w:rsid w:val="00362070"/>
    <w:rsid w:val="00364577"/>
    <w:rsid w:val="00375650"/>
    <w:rsid w:val="003818B5"/>
    <w:rsid w:val="00385317"/>
    <w:rsid w:val="00385875"/>
    <w:rsid w:val="00387981"/>
    <w:rsid w:val="00391BBE"/>
    <w:rsid w:val="00395370"/>
    <w:rsid w:val="003A17DF"/>
    <w:rsid w:val="003A4D7E"/>
    <w:rsid w:val="003A5FC0"/>
    <w:rsid w:val="003A6595"/>
    <w:rsid w:val="003B4543"/>
    <w:rsid w:val="003C1E14"/>
    <w:rsid w:val="003C7102"/>
    <w:rsid w:val="003D1678"/>
    <w:rsid w:val="003D67DB"/>
    <w:rsid w:val="003E01A2"/>
    <w:rsid w:val="003E2E0B"/>
    <w:rsid w:val="003E424D"/>
    <w:rsid w:val="003F2797"/>
    <w:rsid w:val="003F351B"/>
    <w:rsid w:val="004105D9"/>
    <w:rsid w:val="00415932"/>
    <w:rsid w:val="004178E5"/>
    <w:rsid w:val="00422D26"/>
    <w:rsid w:val="004257DE"/>
    <w:rsid w:val="00426564"/>
    <w:rsid w:val="00430549"/>
    <w:rsid w:val="00431598"/>
    <w:rsid w:val="00445FF5"/>
    <w:rsid w:val="004468F9"/>
    <w:rsid w:val="00451F9A"/>
    <w:rsid w:val="00455698"/>
    <w:rsid w:val="004617BC"/>
    <w:rsid w:val="00462F7C"/>
    <w:rsid w:val="00467AD0"/>
    <w:rsid w:val="00470EF6"/>
    <w:rsid w:val="00471740"/>
    <w:rsid w:val="0048489D"/>
    <w:rsid w:val="00485101"/>
    <w:rsid w:val="00486748"/>
    <w:rsid w:val="0048778E"/>
    <w:rsid w:val="004A39EF"/>
    <w:rsid w:val="004B7FE7"/>
    <w:rsid w:val="004D19CF"/>
    <w:rsid w:val="004D1A9F"/>
    <w:rsid w:val="004D49E5"/>
    <w:rsid w:val="004D52D9"/>
    <w:rsid w:val="004D5C13"/>
    <w:rsid w:val="004F1F49"/>
    <w:rsid w:val="00500019"/>
    <w:rsid w:val="00500759"/>
    <w:rsid w:val="00500C8D"/>
    <w:rsid w:val="0051549B"/>
    <w:rsid w:val="0051694F"/>
    <w:rsid w:val="00525245"/>
    <w:rsid w:val="00531697"/>
    <w:rsid w:val="00533A92"/>
    <w:rsid w:val="005564C7"/>
    <w:rsid w:val="00561FCE"/>
    <w:rsid w:val="00584B45"/>
    <w:rsid w:val="005875A4"/>
    <w:rsid w:val="00597EAE"/>
    <w:rsid w:val="005A2448"/>
    <w:rsid w:val="005A4AB7"/>
    <w:rsid w:val="005C7AE9"/>
    <w:rsid w:val="005D006C"/>
    <w:rsid w:val="005E2681"/>
    <w:rsid w:val="005E672E"/>
    <w:rsid w:val="006025A4"/>
    <w:rsid w:val="00624747"/>
    <w:rsid w:val="00630F47"/>
    <w:rsid w:val="00632965"/>
    <w:rsid w:val="00637E92"/>
    <w:rsid w:val="0064099F"/>
    <w:rsid w:val="00640F68"/>
    <w:rsid w:val="00641AD3"/>
    <w:rsid w:val="00642148"/>
    <w:rsid w:val="00653908"/>
    <w:rsid w:val="0065599A"/>
    <w:rsid w:val="006559DF"/>
    <w:rsid w:val="00656AD3"/>
    <w:rsid w:val="00660198"/>
    <w:rsid w:val="0066420F"/>
    <w:rsid w:val="00676761"/>
    <w:rsid w:val="00680254"/>
    <w:rsid w:val="00682E25"/>
    <w:rsid w:val="006879C4"/>
    <w:rsid w:val="006A308D"/>
    <w:rsid w:val="006A3E79"/>
    <w:rsid w:val="006B03C3"/>
    <w:rsid w:val="006B09AE"/>
    <w:rsid w:val="006C0091"/>
    <w:rsid w:val="006C13BB"/>
    <w:rsid w:val="006C160E"/>
    <w:rsid w:val="006D622B"/>
    <w:rsid w:val="006F143A"/>
    <w:rsid w:val="006F5368"/>
    <w:rsid w:val="006F5DB5"/>
    <w:rsid w:val="007025B2"/>
    <w:rsid w:val="00710003"/>
    <w:rsid w:val="0071028D"/>
    <w:rsid w:val="00711C05"/>
    <w:rsid w:val="00713084"/>
    <w:rsid w:val="00713639"/>
    <w:rsid w:val="007140FE"/>
    <w:rsid w:val="00720411"/>
    <w:rsid w:val="007343C0"/>
    <w:rsid w:val="00747250"/>
    <w:rsid w:val="007542F7"/>
    <w:rsid w:val="00761673"/>
    <w:rsid w:val="007620C3"/>
    <w:rsid w:val="007676F1"/>
    <w:rsid w:val="00767C81"/>
    <w:rsid w:val="00773169"/>
    <w:rsid w:val="00780B53"/>
    <w:rsid w:val="00791943"/>
    <w:rsid w:val="007B23F8"/>
    <w:rsid w:val="007B4E7F"/>
    <w:rsid w:val="007E0AB2"/>
    <w:rsid w:val="007E335A"/>
    <w:rsid w:val="007E61A8"/>
    <w:rsid w:val="007F1E5B"/>
    <w:rsid w:val="007F3044"/>
    <w:rsid w:val="007F3C54"/>
    <w:rsid w:val="00812BE6"/>
    <w:rsid w:val="00814BC3"/>
    <w:rsid w:val="00814F88"/>
    <w:rsid w:val="00816225"/>
    <w:rsid w:val="0081656D"/>
    <w:rsid w:val="008225EC"/>
    <w:rsid w:val="0082279D"/>
    <w:rsid w:val="008247A0"/>
    <w:rsid w:val="00825A34"/>
    <w:rsid w:val="00833419"/>
    <w:rsid w:val="00841034"/>
    <w:rsid w:val="0086587B"/>
    <w:rsid w:val="0086698C"/>
    <w:rsid w:val="00867056"/>
    <w:rsid w:val="0086787C"/>
    <w:rsid w:val="00892B9C"/>
    <w:rsid w:val="0089334F"/>
    <w:rsid w:val="008964A9"/>
    <w:rsid w:val="008A183A"/>
    <w:rsid w:val="008A7FF0"/>
    <w:rsid w:val="008C5871"/>
    <w:rsid w:val="008D7026"/>
    <w:rsid w:val="008E08F1"/>
    <w:rsid w:val="008E31C9"/>
    <w:rsid w:val="008E3982"/>
    <w:rsid w:val="008E6446"/>
    <w:rsid w:val="008F19FE"/>
    <w:rsid w:val="008F2219"/>
    <w:rsid w:val="00907A92"/>
    <w:rsid w:val="009100E6"/>
    <w:rsid w:val="009146E7"/>
    <w:rsid w:val="0091482E"/>
    <w:rsid w:val="0091675F"/>
    <w:rsid w:val="00921A97"/>
    <w:rsid w:val="00927028"/>
    <w:rsid w:val="00941D98"/>
    <w:rsid w:val="00954A6A"/>
    <w:rsid w:val="009636EA"/>
    <w:rsid w:val="00964A72"/>
    <w:rsid w:val="009703C7"/>
    <w:rsid w:val="0097513C"/>
    <w:rsid w:val="00975556"/>
    <w:rsid w:val="00990A50"/>
    <w:rsid w:val="00992C24"/>
    <w:rsid w:val="00993AAE"/>
    <w:rsid w:val="009A1DDE"/>
    <w:rsid w:val="009A28C3"/>
    <w:rsid w:val="009A71CE"/>
    <w:rsid w:val="009B49CD"/>
    <w:rsid w:val="009C18AC"/>
    <w:rsid w:val="009D2646"/>
    <w:rsid w:val="009E3CF9"/>
    <w:rsid w:val="009E4B61"/>
    <w:rsid w:val="00A02B91"/>
    <w:rsid w:val="00A04071"/>
    <w:rsid w:val="00A05F9A"/>
    <w:rsid w:val="00A10460"/>
    <w:rsid w:val="00A1606D"/>
    <w:rsid w:val="00A17607"/>
    <w:rsid w:val="00A24273"/>
    <w:rsid w:val="00A322CD"/>
    <w:rsid w:val="00A32672"/>
    <w:rsid w:val="00A33ED8"/>
    <w:rsid w:val="00A35E9E"/>
    <w:rsid w:val="00A4143D"/>
    <w:rsid w:val="00A42096"/>
    <w:rsid w:val="00A44D15"/>
    <w:rsid w:val="00A834E8"/>
    <w:rsid w:val="00A91FB6"/>
    <w:rsid w:val="00A96A84"/>
    <w:rsid w:val="00AA21EB"/>
    <w:rsid w:val="00AB0299"/>
    <w:rsid w:val="00AB0CA4"/>
    <w:rsid w:val="00AB69BA"/>
    <w:rsid w:val="00AB6A9D"/>
    <w:rsid w:val="00AC43C1"/>
    <w:rsid w:val="00AC4EE1"/>
    <w:rsid w:val="00AC5096"/>
    <w:rsid w:val="00AD5029"/>
    <w:rsid w:val="00AD5F77"/>
    <w:rsid w:val="00AE6190"/>
    <w:rsid w:val="00AF05C9"/>
    <w:rsid w:val="00B10C6D"/>
    <w:rsid w:val="00B13676"/>
    <w:rsid w:val="00B14251"/>
    <w:rsid w:val="00B14EC0"/>
    <w:rsid w:val="00B204E5"/>
    <w:rsid w:val="00B23A6B"/>
    <w:rsid w:val="00B2613D"/>
    <w:rsid w:val="00B321EC"/>
    <w:rsid w:val="00B345A8"/>
    <w:rsid w:val="00B4161A"/>
    <w:rsid w:val="00B44EE3"/>
    <w:rsid w:val="00B456BC"/>
    <w:rsid w:val="00B47C78"/>
    <w:rsid w:val="00B5289B"/>
    <w:rsid w:val="00B55C5D"/>
    <w:rsid w:val="00B63303"/>
    <w:rsid w:val="00B72B64"/>
    <w:rsid w:val="00B73290"/>
    <w:rsid w:val="00B75AC4"/>
    <w:rsid w:val="00B777A1"/>
    <w:rsid w:val="00B83862"/>
    <w:rsid w:val="00B840E4"/>
    <w:rsid w:val="00B86CA7"/>
    <w:rsid w:val="00B90E6D"/>
    <w:rsid w:val="00B93870"/>
    <w:rsid w:val="00B977E4"/>
    <w:rsid w:val="00BA2C82"/>
    <w:rsid w:val="00BA383C"/>
    <w:rsid w:val="00BB4076"/>
    <w:rsid w:val="00BB59FC"/>
    <w:rsid w:val="00BB6802"/>
    <w:rsid w:val="00BC1533"/>
    <w:rsid w:val="00BD2981"/>
    <w:rsid w:val="00BD4989"/>
    <w:rsid w:val="00BE1FF6"/>
    <w:rsid w:val="00BE2354"/>
    <w:rsid w:val="00BE3D60"/>
    <w:rsid w:val="00BE7D5D"/>
    <w:rsid w:val="00BF6A2C"/>
    <w:rsid w:val="00C03036"/>
    <w:rsid w:val="00C05907"/>
    <w:rsid w:val="00C10C7F"/>
    <w:rsid w:val="00C1116B"/>
    <w:rsid w:val="00C17D6D"/>
    <w:rsid w:val="00C20AAE"/>
    <w:rsid w:val="00C21B22"/>
    <w:rsid w:val="00C21BC6"/>
    <w:rsid w:val="00C221F8"/>
    <w:rsid w:val="00C31E66"/>
    <w:rsid w:val="00C332BD"/>
    <w:rsid w:val="00C348C3"/>
    <w:rsid w:val="00C41962"/>
    <w:rsid w:val="00C518B9"/>
    <w:rsid w:val="00C564BD"/>
    <w:rsid w:val="00C60B16"/>
    <w:rsid w:val="00C61CEC"/>
    <w:rsid w:val="00C63CE2"/>
    <w:rsid w:val="00C72A9C"/>
    <w:rsid w:val="00C745A0"/>
    <w:rsid w:val="00C7771A"/>
    <w:rsid w:val="00C81E3F"/>
    <w:rsid w:val="00C859C2"/>
    <w:rsid w:val="00C87314"/>
    <w:rsid w:val="00C9133A"/>
    <w:rsid w:val="00C91633"/>
    <w:rsid w:val="00C917AE"/>
    <w:rsid w:val="00C94A71"/>
    <w:rsid w:val="00C953AB"/>
    <w:rsid w:val="00C96E88"/>
    <w:rsid w:val="00CA052A"/>
    <w:rsid w:val="00CA6545"/>
    <w:rsid w:val="00CB446D"/>
    <w:rsid w:val="00CB5360"/>
    <w:rsid w:val="00CC327F"/>
    <w:rsid w:val="00CD3AE2"/>
    <w:rsid w:val="00CD4845"/>
    <w:rsid w:val="00CD64F2"/>
    <w:rsid w:val="00CD7B4E"/>
    <w:rsid w:val="00CE1F35"/>
    <w:rsid w:val="00CF2A3F"/>
    <w:rsid w:val="00CF3FF9"/>
    <w:rsid w:val="00CF4810"/>
    <w:rsid w:val="00D0240A"/>
    <w:rsid w:val="00D0402C"/>
    <w:rsid w:val="00D04537"/>
    <w:rsid w:val="00D045D4"/>
    <w:rsid w:val="00D13934"/>
    <w:rsid w:val="00D20594"/>
    <w:rsid w:val="00D24493"/>
    <w:rsid w:val="00D2558F"/>
    <w:rsid w:val="00D31218"/>
    <w:rsid w:val="00D4798E"/>
    <w:rsid w:val="00D51656"/>
    <w:rsid w:val="00D52F87"/>
    <w:rsid w:val="00D54821"/>
    <w:rsid w:val="00D6223D"/>
    <w:rsid w:val="00D66DD1"/>
    <w:rsid w:val="00D727FD"/>
    <w:rsid w:val="00D764EF"/>
    <w:rsid w:val="00D77E6F"/>
    <w:rsid w:val="00D80EB3"/>
    <w:rsid w:val="00D8196C"/>
    <w:rsid w:val="00D8201B"/>
    <w:rsid w:val="00D84A60"/>
    <w:rsid w:val="00D92F51"/>
    <w:rsid w:val="00D93A06"/>
    <w:rsid w:val="00D9611E"/>
    <w:rsid w:val="00DA2491"/>
    <w:rsid w:val="00DB51ED"/>
    <w:rsid w:val="00DC1B67"/>
    <w:rsid w:val="00DC21ED"/>
    <w:rsid w:val="00DC79C6"/>
    <w:rsid w:val="00DD2441"/>
    <w:rsid w:val="00DD68A8"/>
    <w:rsid w:val="00DD78F3"/>
    <w:rsid w:val="00DE7F09"/>
    <w:rsid w:val="00DF7DFA"/>
    <w:rsid w:val="00E05C50"/>
    <w:rsid w:val="00E22A66"/>
    <w:rsid w:val="00E25EE6"/>
    <w:rsid w:val="00E2612E"/>
    <w:rsid w:val="00E33CCD"/>
    <w:rsid w:val="00E36133"/>
    <w:rsid w:val="00E41C11"/>
    <w:rsid w:val="00E42F5F"/>
    <w:rsid w:val="00E5346B"/>
    <w:rsid w:val="00E57A66"/>
    <w:rsid w:val="00E57F79"/>
    <w:rsid w:val="00E62252"/>
    <w:rsid w:val="00E829AB"/>
    <w:rsid w:val="00E90B7B"/>
    <w:rsid w:val="00E91CE2"/>
    <w:rsid w:val="00E91F4E"/>
    <w:rsid w:val="00E94E1F"/>
    <w:rsid w:val="00E95D96"/>
    <w:rsid w:val="00EB21EB"/>
    <w:rsid w:val="00EC16B9"/>
    <w:rsid w:val="00EC5F30"/>
    <w:rsid w:val="00ED07DB"/>
    <w:rsid w:val="00ED2FCA"/>
    <w:rsid w:val="00ED5058"/>
    <w:rsid w:val="00EE41A4"/>
    <w:rsid w:val="00EE7072"/>
    <w:rsid w:val="00EF0DD5"/>
    <w:rsid w:val="00EF7237"/>
    <w:rsid w:val="00F100CC"/>
    <w:rsid w:val="00F118C9"/>
    <w:rsid w:val="00F120B7"/>
    <w:rsid w:val="00F15D6F"/>
    <w:rsid w:val="00F220B5"/>
    <w:rsid w:val="00F33105"/>
    <w:rsid w:val="00F3408C"/>
    <w:rsid w:val="00F4472F"/>
    <w:rsid w:val="00F457F7"/>
    <w:rsid w:val="00F5478D"/>
    <w:rsid w:val="00F55D4D"/>
    <w:rsid w:val="00F57099"/>
    <w:rsid w:val="00F70898"/>
    <w:rsid w:val="00F7218A"/>
    <w:rsid w:val="00F72D09"/>
    <w:rsid w:val="00F91118"/>
    <w:rsid w:val="00FA2126"/>
    <w:rsid w:val="00FB1BE8"/>
    <w:rsid w:val="00FB2899"/>
    <w:rsid w:val="00FB2A6B"/>
    <w:rsid w:val="00FB71DC"/>
    <w:rsid w:val="00FC509D"/>
    <w:rsid w:val="00FC52BF"/>
    <w:rsid w:val="00FC589C"/>
    <w:rsid w:val="00FC708A"/>
    <w:rsid w:val="00FD35A3"/>
    <w:rsid w:val="00FD4DC1"/>
    <w:rsid w:val="00FD53DE"/>
    <w:rsid w:val="00FE427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2DB34"/>
  <w15:chartTrackingRefBased/>
  <w15:docId w15:val="{8A4FA2F6-2DE1-414B-9C5A-66764059F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i-art">
    <w:name w:val="sti-art"/>
    <w:basedOn w:val="Navaden"/>
    <w:rsid w:val="008A183A"/>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avaden1">
    <w:name w:val="Navaden1"/>
    <w:basedOn w:val="Navaden"/>
    <w:rsid w:val="008A183A"/>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8A183A"/>
    <w:pPr>
      <w:ind w:left="720"/>
      <w:contextualSpacing/>
    </w:pPr>
  </w:style>
  <w:style w:type="paragraph" w:customStyle="1" w:styleId="ti-art">
    <w:name w:val="ti-art"/>
    <w:basedOn w:val="Navaden"/>
    <w:rsid w:val="00FC52B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ti-grseq-1">
    <w:name w:val="ti-grseq-1"/>
    <w:basedOn w:val="Navaden"/>
    <w:rsid w:val="004F1F4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italic">
    <w:name w:val="italic"/>
    <w:basedOn w:val="Privzetapisavaodstavka"/>
    <w:rsid w:val="004F1F49"/>
  </w:style>
  <w:style w:type="paragraph" w:customStyle="1" w:styleId="title-bold">
    <w:name w:val="title-bold"/>
    <w:basedOn w:val="Navaden"/>
    <w:rsid w:val="004F1F4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Navadensplet">
    <w:name w:val="Normal (Web)"/>
    <w:basedOn w:val="Navaden"/>
    <w:uiPriority w:val="99"/>
    <w:unhideWhenUsed/>
    <w:rsid w:val="004F1F4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oudarek">
    <w:name w:val="Emphasis"/>
    <w:basedOn w:val="Privzetapisavaodstavka"/>
    <w:uiPriority w:val="20"/>
    <w:qFormat/>
    <w:rsid w:val="004F1F49"/>
    <w:rPr>
      <w:i/>
      <w:iCs/>
    </w:rPr>
  </w:style>
  <w:style w:type="character" w:styleId="Hiperpovezava">
    <w:name w:val="Hyperlink"/>
    <w:basedOn w:val="Privzetapisavaodstavka"/>
    <w:uiPriority w:val="99"/>
    <w:unhideWhenUsed/>
    <w:rsid w:val="004F1F49"/>
    <w:rPr>
      <w:color w:val="0563C1" w:themeColor="hyperlink"/>
      <w:u w:val="single"/>
    </w:rPr>
  </w:style>
  <w:style w:type="paragraph" w:customStyle="1" w:styleId="Default">
    <w:name w:val="Default"/>
    <w:rsid w:val="00E57A66"/>
    <w:pPr>
      <w:autoSpaceDE w:val="0"/>
      <w:autoSpaceDN w:val="0"/>
      <w:adjustRightInd w:val="0"/>
      <w:spacing w:after="0" w:line="240" w:lineRule="auto"/>
    </w:pPr>
    <w:rPr>
      <w:rFonts w:ascii="EUAlbertina" w:hAnsi="EUAlbertina" w:cs="EUAlbertina"/>
      <w:color w:val="000000"/>
      <w:sz w:val="24"/>
      <w:szCs w:val="24"/>
    </w:rPr>
  </w:style>
  <w:style w:type="paragraph" w:customStyle="1" w:styleId="ti-section-1">
    <w:name w:val="ti-section-1"/>
    <w:basedOn w:val="Navaden"/>
    <w:rsid w:val="001E071E"/>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ti-section-2">
    <w:name w:val="ti-section-2"/>
    <w:basedOn w:val="Navaden"/>
    <w:rsid w:val="001E071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bold">
    <w:name w:val="bold"/>
    <w:basedOn w:val="Privzetapisavaodstavka"/>
    <w:rsid w:val="001E071E"/>
  </w:style>
  <w:style w:type="paragraph" w:customStyle="1" w:styleId="Navaden2">
    <w:name w:val="Navaden2"/>
    <w:basedOn w:val="Navaden"/>
    <w:rsid w:val="001E071E"/>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avaden3">
    <w:name w:val="Navaden3"/>
    <w:basedOn w:val="Navaden"/>
    <w:rsid w:val="00AD502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CB5360"/>
    <w:rPr>
      <w:sz w:val="16"/>
      <w:szCs w:val="16"/>
    </w:rPr>
  </w:style>
  <w:style w:type="paragraph" w:styleId="Pripombabesedilo">
    <w:name w:val="annotation text"/>
    <w:basedOn w:val="Navaden"/>
    <w:link w:val="PripombabesediloZnak"/>
    <w:uiPriority w:val="99"/>
    <w:semiHidden/>
    <w:unhideWhenUsed/>
    <w:rsid w:val="00CB5360"/>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B5360"/>
    <w:rPr>
      <w:sz w:val="20"/>
      <w:szCs w:val="20"/>
    </w:rPr>
  </w:style>
  <w:style w:type="paragraph" w:styleId="Zadevapripombe">
    <w:name w:val="annotation subject"/>
    <w:basedOn w:val="Pripombabesedilo"/>
    <w:next w:val="Pripombabesedilo"/>
    <w:link w:val="ZadevapripombeZnak"/>
    <w:uiPriority w:val="99"/>
    <w:semiHidden/>
    <w:unhideWhenUsed/>
    <w:rsid w:val="00CB5360"/>
    <w:rPr>
      <w:b/>
      <w:bCs/>
    </w:rPr>
  </w:style>
  <w:style w:type="character" w:customStyle="1" w:styleId="ZadevapripombeZnak">
    <w:name w:val="Zadeva pripombe Znak"/>
    <w:basedOn w:val="PripombabesediloZnak"/>
    <w:link w:val="Zadevapripombe"/>
    <w:uiPriority w:val="99"/>
    <w:semiHidden/>
    <w:rsid w:val="00CB5360"/>
    <w:rPr>
      <w:b/>
      <w:bCs/>
      <w:sz w:val="20"/>
      <w:szCs w:val="20"/>
    </w:rPr>
  </w:style>
  <w:style w:type="paragraph" w:styleId="Besedilooblaka">
    <w:name w:val="Balloon Text"/>
    <w:basedOn w:val="Navaden"/>
    <w:link w:val="BesedilooblakaZnak"/>
    <w:uiPriority w:val="99"/>
    <w:semiHidden/>
    <w:unhideWhenUsed/>
    <w:rsid w:val="00CB536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B5360"/>
    <w:rPr>
      <w:rFonts w:ascii="Segoe UI" w:hAnsi="Segoe UI" w:cs="Segoe UI"/>
      <w:sz w:val="18"/>
      <w:szCs w:val="18"/>
    </w:rPr>
  </w:style>
  <w:style w:type="paragraph" w:styleId="Sprotnaopomba-besedilo">
    <w:name w:val="footnote text"/>
    <w:basedOn w:val="Navaden"/>
    <w:link w:val="Sprotnaopomba-besediloZnak"/>
    <w:uiPriority w:val="99"/>
    <w:semiHidden/>
    <w:unhideWhenUsed/>
    <w:rsid w:val="008F19FE"/>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8F19FE"/>
    <w:rPr>
      <w:sz w:val="20"/>
      <w:szCs w:val="20"/>
    </w:rPr>
  </w:style>
  <w:style w:type="character" w:styleId="Sprotnaopomba-sklic">
    <w:name w:val="footnote reference"/>
    <w:basedOn w:val="Privzetapisavaodstavka"/>
    <w:uiPriority w:val="99"/>
    <w:semiHidden/>
    <w:unhideWhenUsed/>
    <w:rsid w:val="008F19FE"/>
    <w:rPr>
      <w:vertAlign w:val="superscript"/>
    </w:rPr>
  </w:style>
  <w:style w:type="character" w:styleId="Nerazreenaomemba">
    <w:name w:val="Unresolved Mention"/>
    <w:basedOn w:val="Privzetapisavaodstavka"/>
    <w:uiPriority w:val="99"/>
    <w:semiHidden/>
    <w:unhideWhenUsed/>
    <w:rsid w:val="00975556"/>
    <w:rPr>
      <w:color w:val="605E5C"/>
      <w:shd w:val="clear" w:color="auto" w:fill="E1DFDD"/>
    </w:rPr>
  </w:style>
  <w:style w:type="character" w:styleId="SledenaHiperpovezava">
    <w:name w:val="FollowedHyperlink"/>
    <w:basedOn w:val="Privzetapisavaodstavka"/>
    <w:uiPriority w:val="99"/>
    <w:semiHidden/>
    <w:unhideWhenUsed/>
    <w:rsid w:val="00825A34"/>
    <w:rPr>
      <w:color w:val="954F72" w:themeColor="followedHyperlink"/>
      <w:u w:val="single"/>
    </w:rPr>
  </w:style>
  <w:style w:type="character" w:customStyle="1" w:styleId="A3">
    <w:name w:val="A3"/>
    <w:uiPriority w:val="99"/>
    <w:rsid w:val="007140FE"/>
    <w:rPr>
      <w:rFonts w:cs="DaxlinePro-Medium"/>
      <w:color w:val="000000"/>
      <w:sz w:val="40"/>
      <w:szCs w:val="40"/>
    </w:rPr>
  </w:style>
  <w:style w:type="paragraph" w:styleId="Glava">
    <w:name w:val="header"/>
    <w:basedOn w:val="Navaden"/>
    <w:link w:val="GlavaZnak"/>
    <w:uiPriority w:val="99"/>
    <w:unhideWhenUsed/>
    <w:rsid w:val="002E2F01"/>
    <w:pPr>
      <w:tabs>
        <w:tab w:val="center" w:pos="4536"/>
        <w:tab w:val="right" w:pos="9072"/>
      </w:tabs>
      <w:spacing w:after="0" w:line="240" w:lineRule="auto"/>
    </w:pPr>
  </w:style>
  <w:style w:type="character" w:customStyle="1" w:styleId="GlavaZnak">
    <w:name w:val="Glava Znak"/>
    <w:basedOn w:val="Privzetapisavaodstavka"/>
    <w:link w:val="Glava"/>
    <w:uiPriority w:val="99"/>
    <w:rsid w:val="002E2F01"/>
  </w:style>
  <w:style w:type="paragraph" w:styleId="Noga">
    <w:name w:val="footer"/>
    <w:basedOn w:val="Navaden"/>
    <w:link w:val="NogaZnak"/>
    <w:uiPriority w:val="99"/>
    <w:unhideWhenUsed/>
    <w:rsid w:val="002E2F01"/>
    <w:pPr>
      <w:tabs>
        <w:tab w:val="center" w:pos="4536"/>
        <w:tab w:val="right" w:pos="9072"/>
      </w:tabs>
      <w:spacing w:after="0" w:line="240" w:lineRule="auto"/>
    </w:pPr>
  </w:style>
  <w:style w:type="character" w:customStyle="1" w:styleId="NogaZnak">
    <w:name w:val="Noga Znak"/>
    <w:basedOn w:val="Privzetapisavaodstavka"/>
    <w:link w:val="Noga"/>
    <w:uiPriority w:val="99"/>
    <w:rsid w:val="002E2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16298">
      <w:bodyDiv w:val="1"/>
      <w:marLeft w:val="0"/>
      <w:marRight w:val="0"/>
      <w:marTop w:val="0"/>
      <w:marBottom w:val="0"/>
      <w:divBdr>
        <w:top w:val="none" w:sz="0" w:space="0" w:color="auto"/>
        <w:left w:val="none" w:sz="0" w:space="0" w:color="auto"/>
        <w:bottom w:val="none" w:sz="0" w:space="0" w:color="auto"/>
        <w:right w:val="none" w:sz="0" w:space="0" w:color="auto"/>
      </w:divBdr>
    </w:div>
    <w:div w:id="572083933">
      <w:bodyDiv w:val="1"/>
      <w:marLeft w:val="0"/>
      <w:marRight w:val="0"/>
      <w:marTop w:val="0"/>
      <w:marBottom w:val="0"/>
      <w:divBdr>
        <w:top w:val="none" w:sz="0" w:space="0" w:color="auto"/>
        <w:left w:val="none" w:sz="0" w:space="0" w:color="auto"/>
        <w:bottom w:val="none" w:sz="0" w:space="0" w:color="auto"/>
        <w:right w:val="none" w:sz="0" w:space="0" w:color="auto"/>
      </w:divBdr>
    </w:div>
    <w:div w:id="826360265">
      <w:bodyDiv w:val="1"/>
      <w:marLeft w:val="0"/>
      <w:marRight w:val="0"/>
      <w:marTop w:val="0"/>
      <w:marBottom w:val="0"/>
      <w:divBdr>
        <w:top w:val="none" w:sz="0" w:space="0" w:color="auto"/>
        <w:left w:val="none" w:sz="0" w:space="0" w:color="auto"/>
        <w:bottom w:val="none" w:sz="0" w:space="0" w:color="auto"/>
        <w:right w:val="none" w:sz="0" w:space="0" w:color="auto"/>
      </w:divBdr>
    </w:div>
    <w:div w:id="827554539">
      <w:bodyDiv w:val="1"/>
      <w:marLeft w:val="0"/>
      <w:marRight w:val="0"/>
      <w:marTop w:val="0"/>
      <w:marBottom w:val="0"/>
      <w:divBdr>
        <w:top w:val="none" w:sz="0" w:space="0" w:color="auto"/>
        <w:left w:val="none" w:sz="0" w:space="0" w:color="auto"/>
        <w:bottom w:val="none" w:sz="0" w:space="0" w:color="auto"/>
        <w:right w:val="none" w:sz="0" w:space="0" w:color="auto"/>
      </w:divBdr>
    </w:div>
    <w:div w:id="836118291">
      <w:bodyDiv w:val="1"/>
      <w:marLeft w:val="0"/>
      <w:marRight w:val="0"/>
      <w:marTop w:val="0"/>
      <w:marBottom w:val="0"/>
      <w:divBdr>
        <w:top w:val="none" w:sz="0" w:space="0" w:color="auto"/>
        <w:left w:val="none" w:sz="0" w:space="0" w:color="auto"/>
        <w:bottom w:val="none" w:sz="0" w:space="0" w:color="auto"/>
        <w:right w:val="none" w:sz="0" w:space="0" w:color="auto"/>
      </w:divBdr>
    </w:div>
    <w:div w:id="948119243">
      <w:bodyDiv w:val="1"/>
      <w:marLeft w:val="0"/>
      <w:marRight w:val="0"/>
      <w:marTop w:val="0"/>
      <w:marBottom w:val="0"/>
      <w:divBdr>
        <w:top w:val="none" w:sz="0" w:space="0" w:color="auto"/>
        <w:left w:val="none" w:sz="0" w:space="0" w:color="auto"/>
        <w:bottom w:val="none" w:sz="0" w:space="0" w:color="auto"/>
        <w:right w:val="none" w:sz="0" w:space="0" w:color="auto"/>
      </w:divBdr>
    </w:div>
    <w:div w:id="973607561">
      <w:bodyDiv w:val="1"/>
      <w:marLeft w:val="0"/>
      <w:marRight w:val="0"/>
      <w:marTop w:val="0"/>
      <w:marBottom w:val="0"/>
      <w:divBdr>
        <w:top w:val="none" w:sz="0" w:space="0" w:color="auto"/>
        <w:left w:val="none" w:sz="0" w:space="0" w:color="auto"/>
        <w:bottom w:val="none" w:sz="0" w:space="0" w:color="auto"/>
        <w:right w:val="none" w:sz="0" w:space="0" w:color="auto"/>
      </w:divBdr>
    </w:div>
    <w:div w:id="1217088635">
      <w:bodyDiv w:val="1"/>
      <w:marLeft w:val="0"/>
      <w:marRight w:val="0"/>
      <w:marTop w:val="0"/>
      <w:marBottom w:val="0"/>
      <w:divBdr>
        <w:top w:val="none" w:sz="0" w:space="0" w:color="auto"/>
        <w:left w:val="none" w:sz="0" w:space="0" w:color="auto"/>
        <w:bottom w:val="none" w:sz="0" w:space="0" w:color="auto"/>
        <w:right w:val="none" w:sz="0" w:space="0" w:color="auto"/>
      </w:divBdr>
    </w:div>
    <w:div w:id="1224414320">
      <w:bodyDiv w:val="1"/>
      <w:marLeft w:val="0"/>
      <w:marRight w:val="0"/>
      <w:marTop w:val="0"/>
      <w:marBottom w:val="0"/>
      <w:divBdr>
        <w:top w:val="none" w:sz="0" w:space="0" w:color="auto"/>
        <w:left w:val="none" w:sz="0" w:space="0" w:color="auto"/>
        <w:bottom w:val="none" w:sz="0" w:space="0" w:color="auto"/>
        <w:right w:val="none" w:sz="0" w:space="0" w:color="auto"/>
      </w:divBdr>
      <w:divsChild>
        <w:div w:id="1460107201">
          <w:marLeft w:val="0"/>
          <w:marRight w:val="0"/>
          <w:marTop w:val="0"/>
          <w:marBottom w:val="0"/>
          <w:divBdr>
            <w:top w:val="none" w:sz="0" w:space="0" w:color="auto"/>
            <w:left w:val="none" w:sz="0" w:space="0" w:color="auto"/>
            <w:bottom w:val="none" w:sz="0" w:space="0" w:color="auto"/>
            <w:right w:val="none" w:sz="0" w:space="0" w:color="auto"/>
          </w:divBdr>
          <w:divsChild>
            <w:div w:id="1744984635">
              <w:marLeft w:val="0"/>
              <w:marRight w:val="0"/>
              <w:marTop w:val="0"/>
              <w:marBottom w:val="0"/>
              <w:divBdr>
                <w:top w:val="none" w:sz="0" w:space="0" w:color="auto"/>
                <w:left w:val="none" w:sz="0" w:space="0" w:color="auto"/>
                <w:bottom w:val="none" w:sz="0" w:space="0" w:color="auto"/>
                <w:right w:val="none" w:sz="0" w:space="0" w:color="auto"/>
              </w:divBdr>
            </w:div>
            <w:div w:id="55504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05558">
      <w:bodyDiv w:val="1"/>
      <w:marLeft w:val="0"/>
      <w:marRight w:val="0"/>
      <w:marTop w:val="0"/>
      <w:marBottom w:val="0"/>
      <w:divBdr>
        <w:top w:val="none" w:sz="0" w:space="0" w:color="auto"/>
        <w:left w:val="none" w:sz="0" w:space="0" w:color="auto"/>
        <w:bottom w:val="none" w:sz="0" w:space="0" w:color="auto"/>
        <w:right w:val="none" w:sz="0" w:space="0" w:color="auto"/>
      </w:divBdr>
    </w:div>
    <w:div w:id="1722173173">
      <w:bodyDiv w:val="1"/>
      <w:marLeft w:val="0"/>
      <w:marRight w:val="0"/>
      <w:marTop w:val="0"/>
      <w:marBottom w:val="0"/>
      <w:divBdr>
        <w:top w:val="none" w:sz="0" w:space="0" w:color="auto"/>
        <w:left w:val="none" w:sz="0" w:space="0" w:color="auto"/>
        <w:bottom w:val="none" w:sz="0" w:space="0" w:color="auto"/>
        <w:right w:val="none" w:sz="0" w:space="0" w:color="auto"/>
      </w:divBdr>
      <w:divsChild>
        <w:div w:id="1691564752">
          <w:marLeft w:val="0"/>
          <w:marRight w:val="0"/>
          <w:marTop w:val="0"/>
          <w:marBottom w:val="0"/>
          <w:divBdr>
            <w:top w:val="none" w:sz="0" w:space="0" w:color="auto"/>
            <w:left w:val="none" w:sz="0" w:space="0" w:color="auto"/>
            <w:bottom w:val="none" w:sz="0" w:space="0" w:color="auto"/>
            <w:right w:val="none" w:sz="0" w:space="0" w:color="auto"/>
          </w:divBdr>
        </w:div>
        <w:div w:id="1942177646">
          <w:marLeft w:val="0"/>
          <w:marRight w:val="0"/>
          <w:marTop w:val="0"/>
          <w:marBottom w:val="0"/>
          <w:divBdr>
            <w:top w:val="none" w:sz="0" w:space="0" w:color="auto"/>
            <w:left w:val="none" w:sz="0" w:space="0" w:color="auto"/>
            <w:bottom w:val="none" w:sz="0" w:space="0" w:color="auto"/>
            <w:right w:val="none" w:sz="0" w:space="0" w:color="auto"/>
          </w:divBdr>
          <w:divsChild>
            <w:div w:id="1289582041">
              <w:marLeft w:val="0"/>
              <w:marRight w:val="0"/>
              <w:marTop w:val="0"/>
              <w:marBottom w:val="0"/>
              <w:divBdr>
                <w:top w:val="none" w:sz="0" w:space="0" w:color="auto"/>
                <w:left w:val="none" w:sz="0" w:space="0" w:color="auto"/>
                <w:bottom w:val="none" w:sz="0" w:space="0" w:color="auto"/>
                <w:right w:val="none" w:sz="0" w:space="0" w:color="auto"/>
              </w:divBdr>
            </w:div>
            <w:div w:id="596131425">
              <w:marLeft w:val="0"/>
              <w:marRight w:val="0"/>
              <w:marTop w:val="0"/>
              <w:marBottom w:val="0"/>
              <w:divBdr>
                <w:top w:val="none" w:sz="0" w:space="0" w:color="auto"/>
                <w:left w:val="none" w:sz="0" w:space="0" w:color="auto"/>
                <w:bottom w:val="none" w:sz="0" w:space="0" w:color="auto"/>
                <w:right w:val="none" w:sz="0" w:space="0" w:color="auto"/>
              </w:divBdr>
            </w:div>
            <w:div w:id="562527798">
              <w:marLeft w:val="0"/>
              <w:marRight w:val="0"/>
              <w:marTop w:val="0"/>
              <w:marBottom w:val="0"/>
              <w:divBdr>
                <w:top w:val="none" w:sz="0" w:space="0" w:color="auto"/>
                <w:left w:val="none" w:sz="0" w:space="0" w:color="auto"/>
                <w:bottom w:val="none" w:sz="0" w:space="0" w:color="auto"/>
                <w:right w:val="none" w:sz="0" w:space="0" w:color="auto"/>
              </w:divBdr>
            </w:div>
            <w:div w:id="330987773">
              <w:marLeft w:val="0"/>
              <w:marRight w:val="0"/>
              <w:marTop w:val="0"/>
              <w:marBottom w:val="0"/>
              <w:divBdr>
                <w:top w:val="none" w:sz="0" w:space="0" w:color="auto"/>
                <w:left w:val="none" w:sz="0" w:space="0" w:color="auto"/>
                <w:bottom w:val="none" w:sz="0" w:space="0" w:color="auto"/>
                <w:right w:val="none" w:sz="0" w:space="0" w:color="auto"/>
              </w:divBdr>
            </w:div>
            <w:div w:id="464658666">
              <w:marLeft w:val="0"/>
              <w:marRight w:val="0"/>
              <w:marTop w:val="0"/>
              <w:marBottom w:val="0"/>
              <w:divBdr>
                <w:top w:val="none" w:sz="0" w:space="0" w:color="auto"/>
                <w:left w:val="none" w:sz="0" w:space="0" w:color="auto"/>
                <w:bottom w:val="none" w:sz="0" w:space="0" w:color="auto"/>
                <w:right w:val="none" w:sz="0" w:space="0" w:color="auto"/>
              </w:divBdr>
            </w:div>
            <w:div w:id="955600005">
              <w:marLeft w:val="0"/>
              <w:marRight w:val="0"/>
              <w:marTop w:val="0"/>
              <w:marBottom w:val="0"/>
              <w:divBdr>
                <w:top w:val="none" w:sz="0" w:space="0" w:color="auto"/>
                <w:left w:val="none" w:sz="0" w:space="0" w:color="auto"/>
                <w:bottom w:val="none" w:sz="0" w:space="0" w:color="auto"/>
                <w:right w:val="none" w:sz="0" w:space="0" w:color="auto"/>
              </w:divBdr>
            </w:div>
            <w:div w:id="501042096">
              <w:marLeft w:val="0"/>
              <w:marRight w:val="0"/>
              <w:marTop w:val="0"/>
              <w:marBottom w:val="0"/>
              <w:divBdr>
                <w:top w:val="none" w:sz="0" w:space="0" w:color="auto"/>
                <w:left w:val="none" w:sz="0" w:space="0" w:color="auto"/>
                <w:bottom w:val="none" w:sz="0" w:space="0" w:color="auto"/>
                <w:right w:val="none" w:sz="0" w:space="0" w:color="auto"/>
              </w:divBdr>
            </w:div>
            <w:div w:id="11042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82745">
      <w:bodyDiv w:val="1"/>
      <w:marLeft w:val="0"/>
      <w:marRight w:val="0"/>
      <w:marTop w:val="0"/>
      <w:marBottom w:val="0"/>
      <w:divBdr>
        <w:top w:val="none" w:sz="0" w:space="0" w:color="auto"/>
        <w:left w:val="none" w:sz="0" w:space="0" w:color="auto"/>
        <w:bottom w:val="none" w:sz="0" w:space="0" w:color="auto"/>
        <w:right w:val="none" w:sz="0" w:space="0" w:color="auto"/>
      </w:divBdr>
    </w:div>
    <w:div w:id="1769495374">
      <w:bodyDiv w:val="1"/>
      <w:marLeft w:val="0"/>
      <w:marRight w:val="0"/>
      <w:marTop w:val="0"/>
      <w:marBottom w:val="0"/>
      <w:divBdr>
        <w:top w:val="none" w:sz="0" w:space="0" w:color="auto"/>
        <w:left w:val="none" w:sz="0" w:space="0" w:color="auto"/>
        <w:bottom w:val="none" w:sz="0" w:space="0" w:color="auto"/>
        <w:right w:val="none" w:sz="0" w:space="0" w:color="auto"/>
      </w:divBdr>
    </w:div>
    <w:div w:id="2031301499">
      <w:bodyDiv w:val="1"/>
      <w:marLeft w:val="0"/>
      <w:marRight w:val="0"/>
      <w:marTop w:val="0"/>
      <w:marBottom w:val="0"/>
      <w:divBdr>
        <w:top w:val="none" w:sz="0" w:space="0" w:color="auto"/>
        <w:left w:val="none" w:sz="0" w:space="0" w:color="auto"/>
        <w:bottom w:val="none" w:sz="0" w:space="0" w:color="auto"/>
        <w:right w:val="none" w:sz="0" w:space="0" w:color="auto"/>
      </w:divBdr>
    </w:div>
    <w:div w:id="206517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EN/TXT/?uri=celex%3A32019L1937"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EN/TXT/?uri=celex%3A32019L193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a.europa.eu/en/publication/2018/applying-charter-fundamental-rights-european-union-law-and-policymaking-nationa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BE62345C7ED94AB7B6F08250F5EE92" ma:contentTypeVersion="18" ma:contentTypeDescription="Create a new document." ma:contentTypeScope="" ma:versionID="31f2f2aa5579e55591b3d0e30fe70217">
  <xsd:schema xmlns:xsd="http://www.w3.org/2001/XMLSchema" xmlns:xs="http://www.w3.org/2001/XMLSchema" xmlns:p="http://schemas.microsoft.com/office/2006/metadata/properties" xmlns:ns3="9646c36e-444e-499f-9ea7-5057afc206f7" xmlns:ns4="c45a03b0-2924-42ee-9dfd-81417987c304" targetNamespace="http://schemas.microsoft.com/office/2006/metadata/properties" ma:root="true" ma:fieldsID="d8a83b7b38aa6e56bcdcb62d56080ac1" ns3:_="" ns4:_="">
    <xsd:import namespace="9646c36e-444e-499f-9ea7-5057afc206f7"/>
    <xsd:import namespace="c45a03b0-2924-42ee-9dfd-81417987c30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ystemTag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6c36e-444e-499f-9ea7-5057afc206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_activity" ma:index="21" nillable="true" ma:displayName="_activity" ma:hidden="true" ma:internalName="_activity">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5a03b0-2924-42ee-9dfd-81417987c30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646c36e-444e-499f-9ea7-5057afc206f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F6FD2D1-12CB-4421-88DA-10092EEDC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6c36e-444e-499f-9ea7-5057afc206f7"/>
    <ds:schemaRef ds:uri="c45a03b0-2924-42ee-9dfd-81417987c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2CEA9F-0B73-43AE-8AAA-19A589C61798}">
  <ds:schemaRefs>
    <ds:schemaRef ds:uri="http://schemas.microsoft.com/office/2006/metadata/properties"/>
    <ds:schemaRef ds:uri="http://schemas.microsoft.com/office/infopath/2007/PartnerControls"/>
    <ds:schemaRef ds:uri="9646c36e-444e-499f-9ea7-5057afc206f7"/>
  </ds:schemaRefs>
</ds:datastoreItem>
</file>

<file path=customXml/itemProps3.xml><?xml version="1.0" encoding="utf-8"?>
<ds:datastoreItem xmlns:ds="http://schemas.openxmlformats.org/officeDocument/2006/customXml" ds:itemID="{6272DBDB-8FA1-408C-8F4B-0859D660BAA2}">
  <ds:schemaRefs>
    <ds:schemaRef ds:uri="http://schemas.microsoft.com/sharepoint/v3/contenttype/forms"/>
  </ds:schemaRefs>
</ds:datastoreItem>
</file>

<file path=customXml/itemProps4.xml><?xml version="1.0" encoding="utf-8"?>
<ds:datastoreItem xmlns:ds="http://schemas.openxmlformats.org/officeDocument/2006/customXml" ds:itemID="{9E197F39-624E-456C-87AE-D04E6C80B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4005</Words>
  <Characters>22830</Characters>
  <Application>Microsoft Office Word</Application>
  <DocSecurity>0</DocSecurity>
  <Lines>190</Lines>
  <Paragraphs>53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Fajdiga, Mohor</dc:creator>
  <cp:keywords/>
  <dc:description/>
  <cp:lastModifiedBy>Fajdiga, Mohor</cp:lastModifiedBy>
  <cp:revision>8</cp:revision>
  <dcterms:created xsi:type="dcterms:W3CDTF">2024-02-29T13:05:00Z</dcterms:created>
  <dcterms:modified xsi:type="dcterms:W3CDTF">2024-02-29T13:13:00Z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0x01010073BE62345C7ED94AB7B6F08250F5EE92</vt:lpwstr>
  </property>
</Properties>
</file>