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31" w:rsidRPr="00D01770" w:rsidRDefault="00247B31" w:rsidP="00D01770">
      <w:pPr>
        <w:jc w:val="center"/>
        <w:rPr>
          <w:rFonts w:ascii="Book Antiqua" w:hAnsi="Book Antiqua"/>
          <w:b/>
          <w:color w:val="FF0000"/>
        </w:rPr>
      </w:pPr>
      <w:bookmarkStart w:id="0" w:name="_GoBack"/>
      <w:bookmarkEnd w:id="0"/>
      <w:r w:rsidRPr="00D01770">
        <w:rPr>
          <w:rFonts w:ascii="Book Antiqua" w:hAnsi="Book Antiqua"/>
          <w:b/>
          <w:color w:val="FF0000"/>
        </w:rPr>
        <w:t>1. SEZNAM TEM ZA SEMINARSKE NALOGE PRI PRAVNI ZGODOVINI</w:t>
      </w:r>
    </w:p>
    <w:p w:rsidR="00247B31" w:rsidRPr="00D01770" w:rsidRDefault="00247B31" w:rsidP="00D01770">
      <w:pPr>
        <w:jc w:val="center"/>
        <w:rPr>
          <w:rFonts w:ascii="Book Antiqua" w:hAnsi="Book Antiqua" w:cs="Arial"/>
          <w:b/>
          <w:color w:val="FF0000"/>
        </w:rPr>
      </w:pPr>
      <w:r w:rsidRPr="00D01770">
        <w:rPr>
          <w:rFonts w:ascii="Book Antiqua" w:hAnsi="Book Antiqua" w:cs="Arial"/>
          <w:b/>
          <w:color w:val="FF0000"/>
        </w:rPr>
        <w:t xml:space="preserve">ZA REDNE ŠTUDENTE </w:t>
      </w:r>
      <w:r w:rsidR="00D01770">
        <w:rPr>
          <w:rFonts w:ascii="Book Antiqua" w:hAnsi="Book Antiqua" w:cs="Arial"/>
          <w:b/>
          <w:color w:val="FF0000"/>
        </w:rPr>
        <w:t>(2014/</w:t>
      </w:r>
      <w:r w:rsidRPr="00D01770">
        <w:rPr>
          <w:rFonts w:ascii="Book Antiqua" w:hAnsi="Book Antiqua" w:cs="Arial"/>
          <w:b/>
          <w:color w:val="FF0000"/>
        </w:rPr>
        <w:t>2015</w:t>
      </w:r>
      <w:r w:rsidR="00D01770">
        <w:rPr>
          <w:rFonts w:ascii="Book Antiqua" w:hAnsi="Book Antiqua" w:cs="Arial"/>
          <w:b/>
          <w:color w:val="FF0000"/>
        </w:rPr>
        <w:t>)</w:t>
      </w:r>
    </w:p>
    <w:p w:rsidR="00247B31" w:rsidRPr="002D2956" w:rsidRDefault="00247B31" w:rsidP="00247B31">
      <w:pPr>
        <w:rPr>
          <w:rFonts w:ascii="Book Antiqua" w:hAnsi="Book Antiqua" w:cs="Arial"/>
          <w:b/>
          <w:sz w:val="22"/>
          <w:szCs w:val="22"/>
          <w:u w:val="single"/>
        </w:rPr>
      </w:pPr>
    </w:p>
    <w:p w:rsidR="00247B31" w:rsidRPr="002D2956" w:rsidRDefault="00247B31" w:rsidP="00247B31">
      <w:pPr>
        <w:rPr>
          <w:rFonts w:ascii="Book Antiqua" w:hAnsi="Book Antiqua"/>
          <w:b/>
          <w:sz w:val="22"/>
          <w:szCs w:val="22"/>
        </w:rPr>
      </w:pPr>
      <w:r w:rsidRPr="002D2956">
        <w:rPr>
          <w:rFonts w:ascii="Book Antiqua" w:hAnsi="Book Antiqua" w:cs="Arial"/>
          <w:b/>
          <w:sz w:val="22"/>
          <w:szCs w:val="22"/>
          <w:u w:val="single"/>
        </w:rPr>
        <w:t>TEMA</w:t>
      </w:r>
      <w:r w:rsidR="00D01770" w:rsidRPr="002D2956">
        <w:rPr>
          <w:rFonts w:ascii="Book Antiqua" w:hAnsi="Book Antiqua" w:cs="Arial"/>
          <w:b/>
          <w:sz w:val="22"/>
          <w:szCs w:val="22"/>
        </w:rPr>
        <w:t>: KLINOPISNA PRAVA</w:t>
      </w:r>
      <w:r w:rsidRPr="002D2956">
        <w:rPr>
          <w:rFonts w:ascii="Book Antiqua" w:hAnsi="Book Antiqua"/>
          <w:b/>
          <w:sz w:val="22"/>
          <w:szCs w:val="22"/>
        </w:rPr>
        <w:t xml:space="preserve"> </w:t>
      </w:r>
      <w:r w:rsidR="00B54049">
        <w:rPr>
          <w:rFonts w:ascii="Book Antiqua" w:hAnsi="Book Antiqua"/>
          <w:b/>
          <w:sz w:val="22"/>
          <w:szCs w:val="22"/>
        </w:rPr>
        <w:t>IN DRUGI MEZOPOTAMSKI VIRI O PRAVU</w:t>
      </w:r>
    </w:p>
    <w:p w:rsidR="00D01770" w:rsidRPr="002D2956" w:rsidRDefault="00247B31" w:rsidP="00247B31">
      <w:pPr>
        <w:rPr>
          <w:rFonts w:ascii="Book Antiqua" w:hAnsi="Book Antiqua" w:cs="Arial"/>
          <w:b/>
          <w:sz w:val="22"/>
          <w:szCs w:val="22"/>
        </w:rPr>
      </w:pPr>
      <w:r w:rsidRPr="002D2956">
        <w:rPr>
          <w:rFonts w:ascii="Book Antiqua" w:hAnsi="Book Antiqua" w:cs="Arial"/>
          <w:b/>
          <w:sz w:val="22"/>
          <w:szCs w:val="22"/>
          <w:u w:val="single"/>
        </w:rPr>
        <w:t>USTNA PREDSTAVITEV:</w:t>
      </w:r>
      <w:r w:rsidRPr="002D2956">
        <w:rPr>
          <w:rFonts w:ascii="Book Antiqua" w:hAnsi="Book Antiqua" w:cs="Arial"/>
          <w:b/>
          <w:sz w:val="22"/>
          <w:szCs w:val="22"/>
        </w:rPr>
        <w:t xml:space="preserve">  </w:t>
      </w:r>
      <w:r w:rsidRPr="002D2956">
        <w:rPr>
          <w:rFonts w:ascii="Book Antiqua" w:hAnsi="Book Antiqua" w:cs="Arial"/>
          <w:b/>
          <w:color w:val="FF0000"/>
          <w:sz w:val="22"/>
          <w:szCs w:val="22"/>
        </w:rPr>
        <w:t xml:space="preserve">torek 14.10. 2014 </w:t>
      </w:r>
      <w:r w:rsidRPr="002D2956">
        <w:rPr>
          <w:rFonts w:ascii="Book Antiqua" w:hAnsi="Book Antiqua" w:cs="Arial"/>
          <w:b/>
          <w:sz w:val="22"/>
          <w:szCs w:val="22"/>
        </w:rPr>
        <w:t xml:space="preserve">(od 12.15 – 14h, siva predavalnica) </w:t>
      </w:r>
    </w:p>
    <w:p w:rsidR="00247B31" w:rsidRPr="002D2956" w:rsidRDefault="00247B31" w:rsidP="00247B31">
      <w:pPr>
        <w:rPr>
          <w:rFonts w:ascii="Book Antiqua" w:hAnsi="Book Antiqua" w:cs="Arial"/>
          <w:b/>
          <w:sz w:val="22"/>
          <w:szCs w:val="22"/>
        </w:rPr>
      </w:pPr>
      <w:r w:rsidRPr="002D2956">
        <w:rPr>
          <w:rFonts w:ascii="Book Antiqua" w:hAnsi="Book Antiqua" w:cs="Arial"/>
          <w:b/>
          <w:sz w:val="22"/>
          <w:szCs w:val="22"/>
          <w:u w:val="single"/>
        </w:rPr>
        <w:t>PROFESOR/ICA</w:t>
      </w:r>
      <w:r w:rsidRPr="002D2956">
        <w:rPr>
          <w:rFonts w:ascii="Book Antiqua" w:hAnsi="Book Antiqua" w:cs="Arial"/>
          <w:b/>
          <w:sz w:val="22"/>
          <w:szCs w:val="22"/>
        </w:rPr>
        <w:t>: ŠKRUBEJ</w:t>
      </w:r>
    </w:p>
    <w:p w:rsidR="00247B31" w:rsidRPr="00247B31" w:rsidRDefault="00247B31" w:rsidP="00247B31">
      <w:pPr>
        <w:rPr>
          <w:rFonts w:ascii="Book Antiqua" w:hAnsi="Book Antiqua"/>
          <w:b/>
          <w:color w:val="008000"/>
          <w:sz w:val="22"/>
          <w:szCs w:val="22"/>
        </w:rPr>
      </w:pPr>
    </w:p>
    <w:p w:rsidR="005C2AC2" w:rsidRDefault="00247B31">
      <w:pPr>
        <w:rPr>
          <w:rFonts w:ascii="Book Antiqua" w:hAnsi="Book Antiqua" w:cs="Arial"/>
          <w:b/>
          <w:color w:val="FF0000"/>
          <w:u w:val="single"/>
        </w:rPr>
      </w:pPr>
      <w:r w:rsidRPr="00247B31">
        <w:rPr>
          <w:rFonts w:ascii="Book Antiqua" w:hAnsi="Book Antiqua" w:cs="Arial"/>
          <w:b/>
          <w:color w:val="FF0000"/>
          <w:u w:val="single"/>
        </w:rPr>
        <w:t>Oddati pisno in OSEBNO na vajah, gov. urah, predavanjih do petka 10. 10. 2014</w:t>
      </w:r>
    </w:p>
    <w:p w:rsidR="00D01770" w:rsidRPr="00D01770" w:rsidRDefault="00D01770">
      <w:pPr>
        <w:rPr>
          <w:rFonts w:ascii="Book Antiqua" w:hAnsi="Book Antiqua" w:cs="Arial"/>
          <w:b/>
          <w:color w:val="FF0000"/>
          <w:u w:val="single"/>
        </w:rPr>
      </w:pPr>
    </w:p>
    <w:tbl>
      <w:tblPr>
        <w:tblW w:w="1106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653"/>
        <w:gridCol w:w="8363"/>
      </w:tblGrid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Adam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Dajana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Položaj  Gilgameša kot vladarja. Utemeljitev z izbranimi odlomki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Ademaj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Zymryte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Položaj vladarja po prologih in epilogih klinopisnih pravnih zbirk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Ambrožič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Marjanca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 xml:space="preserve">Predstave o pravičnosti v epu o Gilgamešu.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Utemeljitev z izbranimi odlomki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Ameti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Ardian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21212E">
              <w:rPr>
                <w:rFonts w:ascii="Book Antiqua" w:hAnsi="Book Antiqua" w:cs="Arial"/>
                <w:sz w:val="22"/>
                <w:szCs w:val="22"/>
              </w:rPr>
              <w:t xml:space="preserve">Pojem </w:t>
            </w:r>
            <w:r w:rsidRPr="0021212E">
              <w:rPr>
                <w:rFonts w:ascii="Book Antiqua" w:hAnsi="Book Antiqua" w:cs="Arial"/>
                <w:i/>
                <w:sz w:val="22"/>
                <w:szCs w:val="22"/>
              </w:rPr>
              <w:t>mišarum</w:t>
            </w:r>
            <w:r w:rsidRPr="0021212E">
              <w:rPr>
                <w:rFonts w:ascii="Book Antiqua" w:hAnsi="Book Antiqua" w:cs="Arial"/>
                <w:sz w:val="22"/>
                <w:szCs w:val="22"/>
              </w:rPr>
              <w:t xml:space="preserve"> v mezopotamskih pravnih virih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Atelj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Lina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Pravna načela in pravila v epu o Gilgamešu?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Utemeljitev z izbranimi odlomki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Azarov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Tjaša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 w:cs="Arial"/>
                <w:sz w:val="22"/>
                <w:szCs w:val="22"/>
              </w:rPr>
              <w:t xml:space="preserve">Pojem </w:t>
            </w:r>
            <w:r w:rsidRPr="0021212E">
              <w:rPr>
                <w:rFonts w:ascii="Book Antiqua" w:hAnsi="Book Antiqua" w:cs="Arial"/>
                <w:i/>
                <w:sz w:val="22"/>
                <w:szCs w:val="22"/>
              </w:rPr>
              <w:t xml:space="preserve">kittum </w:t>
            </w:r>
            <w:r w:rsidRPr="0021212E">
              <w:rPr>
                <w:rFonts w:ascii="Book Antiqua" w:hAnsi="Book Antiqua" w:cs="Arial"/>
                <w:sz w:val="22"/>
                <w:szCs w:val="22"/>
              </w:rPr>
              <w:t>v mezopotamskih pravnih virih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Babnik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Socialna razslojitev v epu o Gilgamešu.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Utemeljitev z izbranimi odlomki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Barle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Matevž</w:t>
            </w:r>
          </w:p>
        </w:tc>
        <w:tc>
          <w:tcPr>
            <w:tcW w:w="8363" w:type="dxa"/>
          </w:tcPr>
          <w:p w:rsidR="00C47295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Socialna razslojitev kot se kaže v Hamurabijevi zbirki.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Baša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Vrste kaznivih dejanj  v Ur-Namujevi, Ešnunski in  Lipit-Ištarjevi pravni zbirki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Bedene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Teja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Talionsko načelo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 xml:space="preserve"> v Hamurabijevi pravni zbirki</w:t>
            </w:r>
            <w:r w:rsidR="00897CA9">
              <w:rPr>
                <w:rFonts w:ascii="Book Antiqua" w:hAnsi="Book Antiqua"/>
                <w:color w:val="000000"/>
                <w:sz w:val="22"/>
                <w:szCs w:val="22"/>
              </w:rPr>
              <w:t>. Utemeljitev z izbranimi odlomki</w:t>
            </w:r>
            <w:r w:rsidR="00897CA9"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Zupan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Žan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97CA9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Pavšalno znižanje kazni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 xml:space="preserve"> v Hetitski pravni zbirki</w:t>
            </w:r>
            <w:r w:rsidR="00897CA9">
              <w:rPr>
                <w:rFonts w:ascii="Book Antiqua" w:hAnsi="Book Antiqua"/>
                <w:color w:val="000000"/>
                <w:sz w:val="22"/>
                <w:szCs w:val="22"/>
              </w:rPr>
              <w:t>. Utemeljitev z izbranimi odlomki</w:t>
            </w:r>
            <w:r w:rsidR="00897CA9"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Zupanc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Polona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Smrtna kazen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 xml:space="preserve"> po Ur-Namujevi, Ešnunski in  Lipit-Ištarjevi pravni zbirki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Žagar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Tilen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Smrtna kazen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 xml:space="preserve"> po Hamurabijevi pravni zbirki</w:t>
            </w:r>
            <w:r w:rsidR="00897CA9">
              <w:rPr>
                <w:rFonts w:ascii="Book Antiqua" w:hAnsi="Book Antiqua"/>
                <w:color w:val="000000"/>
                <w:sz w:val="22"/>
                <w:szCs w:val="22"/>
              </w:rPr>
              <w:t>. Utemeljitev z izbranimi odlomki</w:t>
            </w:r>
            <w:r w:rsidR="00897CA9"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Žbontar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Klara</w:t>
            </w:r>
          </w:p>
        </w:tc>
        <w:tc>
          <w:tcPr>
            <w:tcW w:w="8363" w:type="dxa"/>
            <w:vAlign w:val="bottom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Načini kaznovanja po Hetitski pravni zbirki</w:t>
            </w:r>
            <w:r w:rsidR="00897CA9">
              <w:rPr>
                <w:rFonts w:ascii="Book Antiqua" w:hAnsi="Book Antiqua"/>
                <w:color w:val="000000"/>
                <w:sz w:val="22"/>
                <w:szCs w:val="22"/>
              </w:rPr>
              <w:t>. Utemeljitev z izbranimi odlomki</w:t>
            </w:r>
            <w:r w:rsidR="00897CA9" w:rsidRPr="0021212E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Žemlja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Neža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 w:cs="Arial"/>
                <w:sz w:val="22"/>
                <w:szCs w:val="22"/>
              </w:rPr>
              <w:t xml:space="preserve">Zakonska zveza </w:t>
            </w: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v Hamurabijevi in Hetitski pravni zbirki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Žepič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Dedovanje v Hamurabijevi in Hetitski pravni zbirki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Žibert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Polona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 w:cs="Arial"/>
                <w:sz w:val="22"/>
                <w:szCs w:val="22"/>
              </w:rPr>
            </w:pPr>
            <w:r w:rsidRPr="0021212E">
              <w:rPr>
                <w:rFonts w:ascii="Book Antiqua" w:hAnsi="Book Antiqua"/>
                <w:color w:val="000000"/>
                <w:sz w:val="22"/>
                <w:szCs w:val="22"/>
              </w:rPr>
              <w:t>Položaj vojakov po Hamurabijevi pravni zbirki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Žibred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Anja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Značilnosti mednarodnih paritetnih pogodb s hetitsko državo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Žišt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Katja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Značilnosti mednarodnih vazalnih pogodb s hetitsko državo</w:t>
            </w:r>
          </w:p>
        </w:tc>
      </w:tr>
      <w:tr w:rsidR="00C47295" w:rsidRPr="0021212E" w:rsidTr="00C47295">
        <w:tc>
          <w:tcPr>
            <w:tcW w:w="1050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Žvan</w:t>
            </w:r>
          </w:p>
        </w:tc>
        <w:tc>
          <w:tcPr>
            <w:tcW w:w="1653" w:type="dxa"/>
          </w:tcPr>
          <w:p w:rsidR="00C47295" w:rsidRPr="006338EE" w:rsidRDefault="00C47295" w:rsidP="008604F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338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Ambrož Anton</w:t>
            </w:r>
          </w:p>
        </w:tc>
        <w:tc>
          <w:tcPr>
            <w:tcW w:w="8363" w:type="dxa"/>
          </w:tcPr>
          <w:p w:rsidR="00C47295" w:rsidRPr="0021212E" w:rsidRDefault="00C47295" w:rsidP="008604F8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Glavne značilnosti </w:t>
            </w:r>
            <w:r w:rsidR="00897CA9">
              <w:rPr>
                <w:rFonts w:ascii="Book Antiqua" w:hAnsi="Book Antiqua"/>
                <w:color w:val="000000"/>
                <w:sz w:val="22"/>
                <w:szCs w:val="22"/>
              </w:rPr>
              <w:t xml:space="preserve">paritetne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pogodbe med Hatušilijem III in Ramzesom II</w:t>
            </w:r>
          </w:p>
        </w:tc>
      </w:tr>
    </w:tbl>
    <w:p w:rsidR="00B54049" w:rsidRDefault="00B54049" w:rsidP="00D01770">
      <w:pPr>
        <w:pStyle w:val="Sprotnaopomba-besedil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D01770" w:rsidRPr="00B54049" w:rsidRDefault="00D01770" w:rsidP="00D01770">
      <w:pPr>
        <w:pStyle w:val="Sprotnaopomba-besedil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D01770">
        <w:rPr>
          <w:rFonts w:ascii="Book Antiqua" w:hAnsi="Book Antiqua"/>
          <w:b/>
          <w:sz w:val="22"/>
          <w:szCs w:val="22"/>
          <w:u w:val="single"/>
        </w:rPr>
        <w:t>OBVEZNI VIRI IN LITERATURA:</w:t>
      </w:r>
    </w:p>
    <w:p w:rsidR="00D01770" w:rsidRPr="00D01770" w:rsidRDefault="00D01770" w:rsidP="00D01770">
      <w:pPr>
        <w:pStyle w:val="Sprotnaopomba-besedilo"/>
        <w:jc w:val="both"/>
        <w:rPr>
          <w:rFonts w:ascii="Book Antiqua" w:hAnsi="Book Antiqua"/>
          <w:b/>
          <w:sz w:val="22"/>
          <w:szCs w:val="22"/>
        </w:rPr>
      </w:pPr>
      <w:r w:rsidRPr="00D01770">
        <w:rPr>
          <w:rFonts w:ascii="Book Antiqua" w:hAnsi="Book Antiqua"/>
          <w:b/>
          <w:sz w:val="22"/>
          <w:szCs w:val="22"/>
        </w:rPr>
        <w:t>Za osnovo vedno najprej p</w:t>
      </w:r>
      <w:r>
        <w:rPr>
          <w:rFonts w:ascii="Book Antiqua" w:hAnsi="Book Antiqua"/>
          <w:b/>
          <w:sz w:val="22"/>
          <w:szCs w:val="22"/>
        </w:rPr>
        <w:t>reberite snov iz obeh učbenikov!</w:t>
      </w:r>
    </w:p>
    <w:p w:rsidR="000D4C30" w:rsidRDefault="000D4C30" w:rsidP="00D01770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 w:rsidRPr="000D4C30">
        <w:rPr>
          <w:rFonts w:ascii="Book Antiqua" w:hAnsi="Book Antiqua"/>
          <w:b/>
          <w:sz w:val="22"/>
          <w:szCs w:val="22"/>
        </w:rPr>
        <w:t>Temeljni vir</w:t>
      </w:r>
      <w:r>
        <w:rPr>
          <w:rFonts w:ascii="Book Antiqua" w:hAnsi="Book Antiqua"/>
          <w:sz w:val="22"/>
          <w:szCs w:val="22"/>
        </w:rPr>
        <w:t xml:space="preserve"> za Ep o Gilgamešu je</w:t>
      </w:r>
      <w:r w:rsidR="00D01770" w:rsidRPr="00D01770">
        <w:rPr>
          <w:rFonts w:ascii="Book Antiqua" w:hAnsi="Book Antiqua"/>
          <w:sz w:val="22"/>
          <w:szCs w:val="22"/>
        </w:rPr>
        <w:t xml:space="preserve"> prevod Mirka Avsenaka (MK, 1963 in 1978). </w:t>
      </w:r>
    </w:p>
    <w:p w:rsidR="000D4C30" w:rsidRDefault="000D4C30" w:rsidP="00D01770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 w:rsidRPr="000D4C30">
        <w:rPr>
          <w:rFonts w:ascii="Book Antiqua" w:hAnsi="Book Antiqua"/>
          <w:b/>
          <w:sz w:val="22"/>
          <w:szCs w:val="22"/>
        </w:rPr>
        <w:t>Temeljni vir</w:t>
      </w:r>
      <w:r>
        <w:rPr>
          <w:rFonts w:ascii="Book Antiqua" w:hAnsi="Book Antiqua"/>
          <w:sz w:val="22"/>
          <w:szCs w:val="22"/>
        </w:rPr>
        <w:t xml:space="preserve"> za Hamurabijevo,</w:t>
      </w:r>
      <w:r w:rsidR="00B54049">
        <w:rPr>
          <w:rFonts w:ascii="Book Antiqua" w:hAnsi="Book Antiqua"/>
          <w:sz w:val="22"/>
          <w:szCs w:val="22"/>
        </w:rPr>
        <w:t xml:space="preserve"> Ur-Namujevo,</w:t>
      </w:r>
      <w:r>
        <w:rPr>
          <w:rFonts w:ascii="Book Antiqua" w:hAnsi="Book Antiqua"/>
          <w:sz w:val="22"/>
          <w:szCs w:val="22"/>
        </w:rPr>
        <w:t xml:space="preserve"> Ešnunsko in Lipit-Ištarjevo pravno zbirko kot tudi za načelo </w:t>
      </w:r>
      <w:r>
        <w:rPr>
          <w:rFonts w:ascii="Book Antiqua" w:hAnsi="Book Antiqua"/>
          <w:i/>
          <w:sz w:val="22"/>
          <w:szCs w:val="22"/>
        </w:rPr>
        <w:t>kittum u mišarum</w:t>
      </w:r>
      <w:r>
        <w:rPr>
          <w:rFonts w:ascii="Book Antiqua" w:hAnsi="Book Antiqua"/>
          <w:sz w:val="22"/>
          <w:szCs w:val="22"/>
        </w:rPr>
        <w:t>, je delo Marthe</w:t>
      </w:r>
      <w:r w:rsidR="00D01770" w:rsidRPr="00D01770">
        <w:rPr>
          <w:rFonts w:ascii="Book Antiqua" w:hAnsi="Book Antiqua"/>
          <w:sz w:val="22"/>
          <w:szCs w:val="22"/>
        </w:rPr>
        <w:t xml:space="preserve"> Roth, </w:t>
      </w:r>
      <w:r w:rsidR="00D01770" w:rsidRPr="00D01770">
        <w:rPr>
          <w:rFonts w:ascii="Book Antiqua" w:hAnsi="Book Antiqua"/>
          <w:i/>
          <w:sz w:val="22"/>
          <w:szCs w:val="22"/>
        </w:rPr>
        <w:t>Law collections from Mesopotamia and Asia Minor</w:t>
      </w:r>
      <w:r w:rsidR="00D01770" w:rsidRPr="00D01770">
        <w:rPr>
          <w:rFonts w:ascii="Book Antiqua" w:hAnsi="Book Antiqua"/>
          <w:sz w:val="22"/>
          <w:szCs w:val="22"/>
        </w:rPr>
        <w:t>;</w:t>
      </w:r>
      <w:r>
        <w:rPr>
          <w:rFonts w:ascii="Book Antiqua" w:hAnsi="Book Antiqua"/>
          <w:sz w:val="22"/>
          <w:szCs w:val="22"/>
        </w:rPr>
        <w:t xml:space="preserve"> </w:t>
      </w:r>
      <w:r w:rsidR="00D01770" w:rsidRPr="00D01770">
        <w:rPr>
          <w:rFonts w:ascii="Book Antiqua" w:hAnsi="Book Antiqua"/>
          <w:sz w:val="22"/>
          <w:szCs w:val="22"/>
        </w:rPr>
        <w:t xml:space="preserve"> </w:t>
      </w:r>
      <w:r w:rsidRPr="00D01770">
        <w:rPr>
          <w:rFonts w:ascii="Book Antiqua" w:hAnsi="Book Antiqua"/>
          <w:sz w:val="22"/>
          <w:szCs w:val="22"/>
        </w:rPr>
        <w:t>za slovenski prevod Hamurabijeve pravne zbirke, delov Ešnunske in delov Li</w:t>
      </w:r>
      <w:r>
        <w:rPr>
          <w:rFonts w:ascii="Book Antiqua" w:hAnsi="Book Antiqua"/>
          <w:sz w:val="22"/>
          <w:szCs w:val="22"/>
        </w:rPr>
        <w:t xml:space="preserve">pit-ištarjeve pravne zbirke </w:t>
      </w:r>
      <w:r w:rsidRPr="00D01770">
        <w:rPr>
          <w:rFonts w:ascii="Book Antiqua" w:hAnsi="Book Antiqua"/>
          <w:sz w:val="22"/>
          <w:szCs w:val="22"/>
        </w:rPr>
        <w:t xml:space="preserve">glejte </w:t>
      </w:r>
      <w:r>
        <w:rPr>
          <w:rFonts w:ascii="Book Antiqua" w:hAnsi="Book Antiqua"/>
          <w:sz w:val="22"/>
          <w:szCs w:val="22"/>
        </w:rPr>
        <w:t>tudi razprave Viktorja Korošca</w:t>
      </w:r>
      <w:r w:rsidR="00A71415">
        <w:rPr>
          <w:rFonts w:ascii="Book Antiqua" w:hAnsi="Book Antiqua"/>
          <w:sz w:val="22"/>
          <w:szCs w:val="22"/>
        </w:rPr>
        <w:t>;</w:t>
      </w:r>
    </w:p>
    <w:p w:rsidR="00D01770" w:rsidRPr="00897CA9" w:rsidRDefault="000D4C30" w:rsidP="00D01770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Temeljni vir </w:t>
      </w:r>
      <w:r>
        <w:rPr>
          <w:rFonts w:ascii="Book Antiqua" w:hAnsi="Book Antiqua"/>
          <w:sz w:val="22"/>
          <w:szCs w:val="22"/>
        </w:rPr>
        <w:t xml:space="preserve">za Hetitsko pravno zbirko je  </w:t>
      </w:r>
      <w:r w:rsidR="00A07674">
        <w:rPr>
          <w:rFonts w:ascii="Book Antiqua" w:hAnsi="Book Antiqua"/>
          <w:sz w:val="22"/>
          <w:szCs w:val="22"/>
        </w:rPr>
        <w:t>Harry Hoffner, The laws of the Hittites, critical edition, 1997</w:t>
      </w:r>
      <w:r>
        <w:rPr>
          <w:rFonts w:ascii="Book Antiqua" w:hAnsi="Book Antiqua"/>
          <w:sz w:val="22"/>
          <w:szCs w:val="22"/>
        </w:rPr>
        <w:t xml:space="preserve"> ; za prevod dela določb gl. Košak, </w:t>
      </w:r>
      <w:r w:rsidRPr="00897CA9">
        <w:rPr>
          <w:rFonts w:ascii="Book Antiqua" w:hAnsi="Book Antiqua"/>
          <w:i/>
          <w:sz w:val="22"/>
          <w:szCs w:val="22"/>
        </w:rPr>
        <w:t>Kralj boja</w:t>
      </w:r>
      <w:r w:rsidR="00897CA9" w:rsidRPr="00897CA9">
        <w:rPr>
          <w:rFonts w:ascii="Book Antiqua" w:hAnsi="Book Antiqua"/>
          <w:i/>
          <w:sz w:val="22"/>
          <w:szCs w:val="22"/>
        </w:rPr>
        <w:t>: iz hetitske pismenosti</w:t>
      </w:r>
      <w:r w:rsidR="00A71415" w:rsidRPr="00897CA9">
        <w:rPr>
          <w:rFonts w:ascii="Book Antiqua" w:hAnsi="Book Antiqua"/>
          <w:i/>
          <w:sz w:val="22"/>
          <w:szCs w:val="22"/>
        </w:rPr>
        <w:t>;</w:t>
      </w:r>
      <w:r w:rsidR="00897CA9">
        <w:rPr>
          <w:rFonts w:ascii="Book Antiqua" w:hAnsi="Book Antiqua"/>
          <w:i/>
          <w:sz w:val="22"/>
          <w:szCs w:val="22"/>
        </w:rPr>
        <w:t xml:space="preserve"> </w:t>
      </w:r>
      <w:r w:rsidR="00897CA9">
        <w:rPr>
          <w:rFonts w:ascii="Book Antiqua" w:hAnsi="Book Antiqua"/>
          <w:sz w:val="22"/>
          <w:szCs w:val="22"/>
        </w:rPr>
        <w:t>MK 1971;</w:t>
      </w:r>
    </w:p>
    <w:p w:rsidR="00D01770" w:rsidRPr="00B202FD" w:rsidRDefault="000D4C30" w:rsidP="00D01770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Temeljni vir </w:t>
      </w:r>
      <w:r>
        <w:rPr>
          <w:rFonts w:ascii="Book Antiqua" w:hAnsi="Book Antiqua"/>
          <w:sz w:val="22"/>
          <w:szCs w:val="22"/>
        </w:rPr>
        <w:t>za mednarodne pogodbe hetitske države je</w:t>
      </w:r>
      <w:r w:rsidR="00A07674">
        <w:rPr>
          <w:rFonts w:ascii="Book Antiqua" w:hAnsi="Book Antiqua"/>
          <w:sz w:val="22"/>
          <w:szCs w:val="22"/>
        </w:rPr>
        <w:t xml:space="preserve"> Gary Beckman, </w:t>
      </w:r>
      <w:r w:rsidR="00A07674" w:rsidRPr="00B202FD">
        <w:rPr>
          <w:rFonts w:ascii="Book Antiqua" w:hAnsi="Book Antiqua"/>
          <w:i/>
          <w:sz w:val="22"/>
          <w:szCs w:val="22"/>
        </w:rPr>
        <w:t xml:space="preserve">Hittite diplomatic </w:t>
      </w:r>
      <w:r w:rsidR="00B202FD">
        <w:rPr>
          <w:rFonts w:ascii="Book Antiqua" w:hAnsi="Book Antiqua"/>
          <w:i/>
          <w:sz w:val="22"/>
          <w:szCs w:val="22"/>
        </w:rPr>
        <w:t xml:space="preserve"> </w:t>
      </w:r>
      <w:r w:rsidR="00A07674" w:rsidRPr="00B202FD">
        <w:rPr>
          <w:rFonts w:ascii="Book Antiqua" w:hAnsi="Book Antiqua"/>
          <w:i/>
          <w:sz w:val="22"/>
          <w:szCs w:val="22"/>
        </w:rPr>
        <w:t>texts</w:t>
      </w:r>
      <w:r w:rsidR="00B202FD" w:rsidRPr="00B202FD">
        <w:rPr>
          <w:rFonts w:ascii="Book Antiqua" w:hAnsi="Book Antiqua"/>
          <w:i/>
          <w:sz w:val="22"/>
          <w:szCs w:val="22"/>
        </w:rPr>
        <w:t>.</w:t>
      </w:r>
      <w:r w:rsidR="00B202FD">
        <w:rPr>
          <w:rFonts w:ascii="Book Antiqua" w:hAnsi="Book Antiqua"/>
          <w:sz w:val="22"/>
          <w:szCs w:val="22"/>
        </w:rPr>
        <w:t xml:space="preserve"> 1996.</w:t>
      </w:r>
    </w:p>
    <w:p w:rsidR="00A07674" w:rsidRDefault="00A07674" w:rsidP="00D01770">
      <w:pPr>
        <w:pStyle w:val="Sprotnaopomba-besedil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 en izvod temeljnih virov je pridržan v č</w:t>
      </w:r>
      <w:r w:rsidR="00B54049">
        <w:rPr>
          <w:rFonts w:ascii="Book Antiqua" w:hAnsi="Book Antiqua"/>
          <w:b/>
          <w:sz w:val="22"/>
          <w:szCs w:val="22"/>
        </w:rPr>
        <w:t>italnici PF. Izvode najdete še</w:t>
      </w:r>
      <w:r>
        <w:rPr>
          <w:rFonts w:ascii="Book Antiqua" w:hAnsi="Book Antiqua"/>
          <w:b/>
          <w:sz w:val="22"/>
          <w:szCs w:val="22"/>
        </w:rPr>
        <w:t xml:space="preserve"> v drugih knjižnicah po Sloveniji.</w:t>
      </w:r>
    </w:p>
    <w:p w:rsidR="00D01770" w:rsidRPr="00A71415" w:rsidRDefault="00D01770" w:rsidP="00D01770">
      <w:pPr>
        <w:pStyle w:val="Sprotnaopomba-besedilo"/>
        <w:jc w:val="both"/>
        <w:rPr>
          <w:rFonts w:ascii="Book Antiqua" w:hAnsi="Book Antiqua"/>
          <w:b/>
          <w:color w:val="FF0000"/>
          <w:sz w:val="22"/>
          <w:szCs w:val="22"/>
        </w:rPr>
      </w:pPr>
      <w:r w:rsidRPr="00A07674">
        <w:rPr>
          <w:rFonts w:ascii="Book Antiqua" w:hAnsi="Book Antiqua"/>
          <w:b/>
          <w:sz w:val="22"/>
          <w:szCs w:val="22"/>
        </w:rPr>
        <w:t>POMEMBNO</w:t>
      </w:r>
      <w:r w:rsidRPr="00D01770">
        <w:rPr>
          <w:rFonts w:ascii="Book Antiqua" w:hAnsi="Book Antiqua"/>
          <w:b/>
          <w:sz w:val="22"/>
          <w:szCs w:val="22"/>
        </w:rPr>
        <w:t xml:space="preserve">: </w:t>
      </w:r>
      <w:r w:rsidRPr="00897CA9">
        <w:rPr>
          <w:rFonts w:ascii="Book Antiqua" w:hAnsi="Book Antiqua"/>
          <w:b/>
          <w:color w:val="FF0000"/>
          <w:sz w:val="24"/>
          <w:szCs w:val="24"/>
        </w:rPr>
        <w:t>upoštevala bova samo tiste naloge, ki bodo izdelane v skladu s splošnimi navodili za izdelavo seminarske naloge</w:t>
      </w:r>
      <w:r w:rsidRPr="00D01770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(na voljo na ŠIS pod B1 Pravna zgodovina in v fotokopirnici PF</w:t>
      </w:r>
      <w:r w:rsidRPr="00D01770">
        <w:rPr>
          <w:rFonts w:ascii="Book Antiqua" w:hAnsi="Book Antiqua"/>
          <w:b/>
          <w:sz w:val="24"/>
          <w:szCs w:val="24"/>
        </w:rPr>
        <w:t>);</w:t>
      </w:r>
      <w:r w:rsidRPr="00D01770">
        <w:rPr>
          <w:rFonts w:ascii="Book Antiqua" w:hAnsi="Book Antiqua"/>
          <w:b/>
          <w:sz w:val="22"/>
          <w:szCs w:val="22"/>
        </w:rPr>
        <w:t xml:space="preserve"> </w:t>
      </w:r>
      <w:r w:rsidR="00A71415" w:rsidRPr="00A71415">
        <w:rPr>
          <w:rFonts w:ascii="Book Antiqua" w:hAnsi="Book Antiqua"/>
          <w:b/>
          <w:color w:val="FF0000"/>
          <w:sz w:val="22"/>
          <w:szCs w:val="22"/>
        </w:rPr>
        <w:t>nujno poiskati vsaj eno dodatno literaturo o temi;</w:t>
      </w:r>
    </w:p>
    <w:p w:rsidR="00D01770" w:rsidRPr="00A71415" w:rsidRDefault="00D01770" w:rsidP="00A71415">
      <w:pPr>
        <w:pStyle w:val="Sprotnaopomba-besedilo"/>
        <w:jc w:val="both"/>
        <w:rPr>
          <w:rFonts w:ascii="Book Antiqua" w:hAnsi="Book Antiqua"/>
          <w:b/>
          <w:sz w:val="22"/>
          <w:szCs w:val="22"/>
        </w:rPr>
      </w:pPr>
      <w:r w:rsidRPr="00D01770">
        <w:rPr>
          <w:rFonts w:ascii="Book Antiqua" w:hAnsi="Book Antiqua"/>
          <w:b/>
          <w:sz w:val="22"/>
          <w:szCs w:val="22"/>
        </w:rPr>
        <w:t>PAZITE: Učbenika za pravno zgodovino, članki iz wikipedije in na tej strani navedeni viri ali literatura ne štejejo kot samostojno najdena literatura!</w:t>
      </w:r>
    </w:p>
    <w:sectPr w:rsidR="00D01770" w:rsidRPr="00A7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31"/>
    <w:rsid w:val="000D4C30"/>
    <w:rsid w:val="00247B31"/>
    <w:rsid w:val="002D2956"/>
    <w:rsid w:val="005C2AC2"/>
    <w:rsid w:val="00712B8B"/>
    <w:rsid w:val="00897CA9"/>
    <w:rsid w:val="00A07674"/>
    <w:rsid w:val="00A5211A"/>
    <w:rsid w:val="00A71415"/>
    <w:rsid w:val="00A95A95"/>
    <w:rsid w:val="00B202FD"/>
    <w:rsid w:val="00B54049"/>
    <w:rsid w:val="00C47295"/>
    <w:rsid w:val="00D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7B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D0177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0177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iperpovezava">
    <w:name w:val="Hyperlink"/>
    <w:basedOn w:val="Privzetapisavaodstavka"/>
    <w:rsid w:val="00D01770"/>
    <w:rPr>
      <w:color w:val="0000FF"/>
      <w:u w:val="single"/>
    </w:rPr>
  </w:style>
  <w:style w:type="character" w:styleId="HTML-citat">
    <w:name w:val="HTML Cite"/>
    <w:basedOn w:val="Privzetapisavaodstavka"/>
    <w:rsid w:val="00D017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7B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D0177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0177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iperpovezava">
    <w:name w:val="Hyperlink"/>
    <w:basedOn w:val="Privzetapisavaodstavka"/>
    <w:rsid w:val="00D01770"/>
    <w:rPr>
      <w:color w:val="0000FF"/>
      <w:u w:val="single"/>
    </w:rPr>
  </w:style>
  <w:style w:type="character" w:styleId="HTML-citat">
    <w:name w:val="HTML Cite"/>
    <w:basedOn w:val="Privzetapisavaodstavka"/>
    <w:rsid w:val="00D01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Škrubej</dc:creator>
  <cp:lastModifiedBy>Branko Perhaj</cp:lastModifiedBy>
  <cp:revision>2</cp:revision>
  <cp:lastPrinted>2014-10-01T05:57:00Z</cp:lastPrinted>
  <dcterms:created xsi:type="dcterms:W3CDTF">2014-10-01T05:58:00Z</dcterms:created>
  <dcterms:modified xsi:type="dcterms:W3CDTF">2014-10-01T05:58:00Z</dcterms:modified>
</cp:coreProperties>
</file>